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58DD8" w14:textId="5CF7C39B" w:rsidR="00B16718" w:rsidRPr="00EA0C14" w:rsidRDefault="00E93870" w:rsidP="00E93870">
      <w:pPr>
        <w:pStyle w:val="a7"/>
        <w:numPr>
          <w:ilvl w:val="0"/>
          <w:numId w:val="1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E93870">
        <w:rPr>
          <w:rFonts w:ascii="Trebuchet MS" w:eastAsia="HG丸ｺﾞｼｯｸM-PRO" w:hAnsi="Trebuchet MS" w:cs="Arial" w:hint="eastAsia"/>
          <w:sz w:val="24"/>
          <w:szCs w:val="24"/>
        </w:rPr>
        <w:t>協同学習に対する振り返りをしましょう。</w:t>
      </w:r>
      <w:r w:rsidR="00EA0C14" w:rsidRPr="00EA0C14">
        <w:rPr>
          <w:rFonts w:ascii="Trebuchet MS" w:eastAsia="HG丸ｺﾞｼｯｸM-PRO" w:hAnsi="Trebuchet MS" w:cs="Arial" w:hint="eastAsia"/>
          <w:sz w:val="24"/>
          <w:szCs w:val="24"/>
        </w:rPr>
        <w:t>。</w:t>
      </w:r>
    </w:p>
    <w:p w14:paraId="3CAD3D48" w14:textId="5AAF11A2" w:rsidR="00EA0C14" w:rsidRDefault="00E93870" w:rsidP="00EA0C14">
      <w:pPr>
        <w:pStyle w:val="a7"/>
        <w:numPr>
          <w:ilvl w:val="0"/>
          <w:numId w:val="2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E93870">
        <w:rPr>
          <w:rFonts w:ascii="Trebuchet MS" w:eastAsia="HG丸ｺﾞｼｯｸM-PRO" w:hAnsi="Trebuchet MS" w:cs="Arial" w:hint="eastAsia"/>
          <w:sz w:val="24"/>
          <w:szCs w:val="24"/>
        </w:rPr>
        <w:t>今日のグループ活動の中で，協同学習が成立するための</w:t>
      </w:r>
      <w:r w:rsidRPr="00E93870">
        <w:rPr>
          <w:rFonts w:ascii="Trebuchet MS" w:eastAsia="HG丸ｺﾞｼｯｸM-PRO" w:hAnsi="Trebuchet MS" w:cs="Arial" w:hint="eastAsia"/>
          <w:sz w:val="24"/>
          <w:szCs w:val="24"/>
        </w:rPr>
        <w:t>5</w:t>
      </w:r>
      <w:r w:rsidRPr="00E93870">
        <w:rPr>
          <w:rFonts w:ascii="Trebuchet MS" w:eastAsia="HG丸ｺﾞｼｯｸM-PRO" w:hAnsi="Trebuchet MS" w:cs="Arial" w:hint="eastAsia"/>
          <w:sz w:val="24"/>
          <w:szCs w:val="24"/>
        </w:rPr>
        <w:t>つの基本原則のいずれかが成立していた場面，成立していなかった場面を</w:t>
      </w:r>
      <w:r w:rsidRPr="00E93870">
        <w:rPr>
          <w:rFonts w:ascii="Trebuchet MS" w:eastAsia="HG丸ｺﾞｼｯｸM-PRO" w:hAnsi="Trebuchet MS" w:cs="Arial" w:hint="eastAsia"/>
          <w:sz w:val="24"/>
          <w:szCs w:val="24"/>
        </w:rPr>
        <w:t>1</w:t>
      </w:r>
      <w:r w:rsidRPr="00E93870">
        <w:rPr>
          <w:rFonts w:ascii="Trebuchet MS" w:eastAsia="HG丸ｺﾞｼｯｸM-PRO" w:hAnsi="Trebuchet MS" w:cs="Arial" w:hint="eastAsia"/>
          <w:sz w:val="24"/>
          <w:szCs w:val="24"/>
        </w:rPr>
        <w:t>つずつあげましょう。またそれぞれの場面について，どの基本原則が成立していたか，どの基本原則が成立していなかったかを，理由とともに説明しましょう。そして，</w:t>
      </w:r>
      <w:r>
        <w:rPr>
          <w:rFonts w:ascii="Trebuchet MS" w:eastAsia="HG丸ｺﾞｼｯｸM-PRO" w:hAnsi="Trebuchet MS" w:cs="Arial" w:hint="eastAsia"/>
          <w:sz w:val="24"/>
          <w:szCs w:val="24"/>
        </w:rPr>
        <w:t>下の</w:t>
      </w:r>
      <w:r w:rsidRPr="00E93870">
        <w:rPr>
          <w:rFonts w:ascii="Trebuchet MS" w:eastAsia="HG丸ｺﾞｼｯｸM-PRO" w:hAnsi="Trebuchet MS" w:cs="Arial" w:hint="eastAsia"/>
          <w:sz w:val="24"/>
          <w:szCs w:val="24"/>
        </w:rPr>
        <w:t>ルーブリックに従って評価しましょう。</w:t>
      </w:r>
      <w:bookmarkStart w:id="0" w:name="_GoBack"/>
      <w:bookmarkEnd w:id="0"/>
    </w:p>
    <w:p w14:paraId="09445A35" w14:textId="77777777" w:rsidR="00E93870" w:rsidRPr="00E93870" w:rsidRDefault="00E93870" w:rsidP="00E93870">
      <w:pPr>
        <w:snapToGrid w:val="0"/>
        <w:rPr>
          <w:rFonts w:ascii="Trebuchet MS" w:eastAsia="HG丸ｺﾞｼｯｸM-PRO" w:hAnsi="Trebuchet MS" w:cs="Arial"/>
          <w:sz w:val="24"/>
          <w:szCs w:val="24"/>
        </w:rPr>
      </w:pPr>
    </w:p>
    <w:tbl>
      <w:tblPr>
        <w:tblStyle w:val="a8"/>
        <w:tblW w:w="0" w:type="auto"/>
        <w:tblBorders>
          <w:insideH w:val="dotted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10478"/>
      </w:tblGrid>
      <w:tr w:rsidR="00E93870" w14:paraId="2A45BCC2" w14:textId="77777777" w:rsidTr="00AB5A72">
        <w:trPr>
          <w:trHeight w:val="513"/>
        </w:trPr>
        <w:tc>
          <w:tcPr>
            <w:tcW w:w="10478" w:type="dxa"/>
          </w:tcPr>
          <w:p w14:paraId="530963C7" w14:textId="6E43A48B" w:rsidR="00E93870" w:rsidRDefault="00E93870" w:rsidP="00AB5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AB5A72" w14:paraId="5AF7E944" w14:textId="77777777" w:rsidTr="00AB5A72">
        <w:trPr>
          <w:trHeight w:val="505"/>
        </w:trPr>
        <w:tc>
          <w:tcPr>
            <w:tcW w:w="10478" w:type="dxa"/>
          </w:tcPr>
          <w:p w14:paraId="1F6E0664" w14:textId="77777777" w:rsidR="00AB5A72" w:rsidRDefault="00AB5A72" w:rsidP="00AB5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AB5A72" w14:paraId="2BFA12E4" w14:textId="77777777" w:rsidTr="00AB5A72">
        <w:trPr>
          <w:trHeight w:val="505"/>
        </w:trPr>
        <w:tc>
          <w:tcPr>
            <w:tcW w:w="10478" w:type="dxa"/>
          </w:tcPr>
          <w:p w14:paraId="73BCC5B8" w14:textId="77777777" w:rsidR="00AB5A72" w:rsidRDefault="00AB5A72" w:rsidP="00AB5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AB5A72" w14:paraId="05D4BD14" w14:textId="77777777" w:rsidTr="00AB5A72">
        <w:trPr>
          <w:trHeight w:val="505"/>
        </w:trPr>
        <w:tc>
          <w:tcPr>
            <w:tcW w:w="10478" w:type="dxa"/>
          </w:tcPr>
          <w:p w14:paraId="33B36FCC" w14:textId="77777777" w:rsidR="00AB5A72" w:rsidRDefault="00AB5A72" w:rsidP="00AB5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AB5A72" w14:paraId="6C448966" w14:textId="77777777" w:rsidTr="00AB5A72">
        <w:trPr>
          <w:trHeight w:val="505"/>
        </w:trPr>
        <w:tc>
          <w:tcPr>
            <w:tcW w:w="10478" w:type="dxa"/>
          </w:tcPr>
          <w:p w14:paraId="4D66652F" w14:textId="77777777" w:rsidR="00AB5A72" w:rsidRDefault="00AB5A72" w:rsidP="00AB5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AB5A72" w14:paraId="7602EFEE" w14:textId="77777777" w:rsidTr="00AB5A72">
        <w:trPr>
          <w:trHeight w:val="505"/>
        </w:trPr>
        <w:tc>
          <w:tcPr>
            <w:tcW w:w="10478" w:type="dxa"/>
          </w:tcPr>
          <w:p w14:paraId="1C57F948" w14:textId="77777777" w:rsidR="00AB5A72" w:rsidRDefault="00AB5A72" w:rsidP="00AB5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AB5A72" w14:paraId="5A3DC427" w14:textId="77777777" w:rsidTr="00AB5A72">
        <w:trPr>
          <w:trHeight w:val="505"/>
        </w:trPr>
        <w:tc>
          <w:tcPr>
            <w:tcW w:w="10478" w:type="dxa"/>
          </w:tcPr>
          <w:p w14:paraId="69BB872D" w14:textId="77777777" w:rsidR="00AB5A72" w:rsidRDefault="00AB5A72" w:rsidP="00AB5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AB5A72" w14:paraId="6B8A1D73" w14:textId="77777777" w:rsidTr="00AB5A72">
        <w:trPr>
          <w:trHeight w:val="505"/>
        </w:trPr>
        <w:tc>
          <w:tcPr>
            <w:tcW w:w="10478" w:type="dxa"/>
          </w:tcPr>
          <w:p w14:paraId="0E9B0136" w14:textId="77777777" w:rsidR="00AB5A72" w:rsidRDefault="00AB5A72" w:rsidP="00AB5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</w:tbl>
    <w:p w14:paraId="261729B7" w14:textId="1D276C0D" w:rsidR="00EA0C14" w:rsidRDefault="00EA0C14" w:rsidP="00EA0C14">
      <w:pPr>
        <w:snapToGrid w:val="0"/>
        <w:rPr>
          <w:rFonts w:ascii="Trebuchet MS" w:eastAsia="HG丸ｺﾞｼｯｸM-PRO" w:hAnsi="Trebuchet MS" w:cs="Arial"/>
          <w:sz w:val="24"/>
          <w:szCs w:val="24"/>
        </w:rPr>
      </w:pPr>
    </w:p>
    <w:p w14:paraId="26F85FD3" w14:textId="77777777" w:rsidR="00E93870" w:rsidRPr="00A35FA4" w:rsidRDefault="00E93870" w:rsidP="00E93870">
      <w:pPr>
        <w:snapToGrid w:val="0"/>
        <w:rPr>
          <w:rFonts w:asciiTheme="minorEastAsia" w:hAnsiTheme="minorEastAsia" w:cstheme="minorEastAsia"/>
          <w:sz w:val="24"/>
          <w:szCs w:val="24"/>
        </w:rPr>
      </w:pPr>
      <w:r w:rsidRPr="00A35FA4">
        <w:rPr>
          <w:rFonts w:asciiTheme="minorEastAsia" w:hAnsiTheme="minorEastAsia" w:cstheme="minorEastAsia"/>
          <w:sz w:val="24"/>
          <w:szCs w:val="24"/>
        </w:rPr>
        <w:t>[</w:t>
      </w:r>
      <w:r w:rsidRPr="00A35FA4">
        <w:rPr>
          <w:rFonts w:asciiTheme="minorEastAsia" w:hAnsiTheme="minorEastAsia" w:cstheme="minorEastAsia" w:hint="eastAsia"/>
          <w:sz w:val="24"/>
          <w:szCs w:val="24"/>
        </w:rPr>
        <w:t>協同学習が成立・成立しなかった場面の具体例</w:t>
      </w:r>
      <w:r w:rsidRPr="00A35FA4">
        <w:rPr>
          <w:rFonts w:asciiTheme="minorEastAsia" w:hAnsiTheme="minorEastAsia" w:cstheme="minorEastAsia"/>
          <w:sz w:val="24"/>
          <w:szCs w:val="24"/>
        </w:rPr>
        <w:t>]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1936"/>
        <w:gridCol w:w="2846"/>
        <w:gridCol w:w="2848"/>
        <w:gridCol w:w="2848"/>
      </w:tblGrid>
      <w:tr w:rsidR="00E93870" w:rsidRPr="00315786" w14:paraId="59E445F5" w14:textId="77777777" w:rsidTr="00A83A72">
        <w:trPr>
          <w:trHeight w:val="660"/>
        </w:trPr>
        <w:tc>
          <w:tcPr>
            <w:tcW w:w="924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  <w:tl2br w:val="single" w:sz="4" w:space="0" w:color="auto"/>
            </w:tcBorders>
            <w:shd w:val="clear" w:color="auto" w:fill="DDDDDD"/>
          </w:tcPr>
          <w:p w14:paraId="2180E0D2" w14:textId="77777777" w:rsidR="00E93870" w:rsidRPr="00315786" w:rsidRDefault="00E93870" w:rsidP="00A83A72">
            <w:pPr>
              <w:jc w:val="right"/>
              <w:rPr>
                <w:rFonts w:ascii="HG丸ｺﾞｼｯｸM-PRO" w:eastAsia="HG丸ｺﾞｼｯｸM-PRO" w:hAnsi="HG丸ｺﾞｼｯｸM-PRO" w:cs="Times New Roman"/>
                <w:sz w:val="24"/>
                <w:szCs w:val="24"/>
                <w:lang w:eastAsia="zh-TW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  <w:lang w:eastAsia="zh-TW"/>
              </w:rPr>
              <w:t>評価基準</w:t>
            </w:r>
          </w:p>
          <w:p w14:paraId="683D907C" w14:textId="77777777" w:rsidR="00E93870" w:rsidRPr="00315786" w:rsidRDefault="00E93870" w:rsidP="00A83A72">
            <w:pPr>
              <w:jc w:val="left"/>
              <w:rPr>
                <w:rFonts w:ascii="HG丸ｺﾞｼｯｸM-PRO" w:eastAsia="HG丸ｺﾞｼｯｸM-PRO" w:hAnsi="HG丸ｺﾞｼｯｸM-PRO" w:cs="Times New Roman"/>
                <w:sz w:val="24"/>
                <w:szCs w:val="24"/>
                <w:lang w:eastAsia="zh-TW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  <w:lang w:eastAsia="zh-TW"/>
              </w:rPr>
              <w:t>評価規準</w:t>
            </w:r>
          </w:p>
        </w:tc>
        <w:tc>
          <w:tcPr>
            <w:tcW w:w="1358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DDDDD"/>
            <w:vAlign w:val="center"/>
          </w:tcPr>
          <w:p w14:paraId="1CDCC7BB" w14:textId="77777777" w:rsidR="00E93870" w:rsidRPr="00315786" w:rsidRDefault="00E93870" w:rsidP="00A83A72">
            <w:pPr>
              <w:jc w:val="center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  <w:t>A</w:t>
            </w: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:十分満足</w:t>
            </w:r>
          </w:p>
        </w:tc>
        <w:tc>
          <w:tcPr>
            <w:tcW w:w="1359" w:type="pct"/>
            <w:tcBorders>
              <w:top w:val="single" w:sz="4" w:space="0" w:color="auto"/>
              <w:bottom w:val="double" w:sz="4" w:space="0" w:color="auto"/>
            </w:tcBorders>
            <w:shd w:val="clear" w:color="auto" w:fill="DDDDDD"/>
            <w:vAlign w:val="center"/>
          </w:tcPr>
          <w:p w14:paraId="5CE70CE0" w14:textId="77777777" w:rsidR="00E93870" w:rsidRPr="00315786" w:rsidRDefault="00E93870" w:rsidP="00A83A72">
            <w:pPr>
              <w:jc w:val="center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B:おおむね満足</w:t>
            </w:r>
          </w:p>
        </w:tc>
        <w:tc>
          <w:tcPr>
            <w:tcW w:w="1359" w:type="pct"/>
            <w:tcBorders>
              <w:top w:val="single" w:sz="4" w:space="0" w:color="auto"/>
              <w:bottom w:val="double" w:sz="4" w:space="0" w:color="auto"/>
            </w:tcBorders>
            <w:shd w:val="clear" w:color="auto" w:fill="DDDDDD"/>
            <w:vAlign w:val="center"/>
          </w:tcPr>
          <w:p w14:paraId="26E5D334" w14:textId="77777777" w:rsidR="00E93870" w:rsidRPr="00315786" w:rsidRDefault="00E93870" w:rsidP="00A83A72">
            <w:pPr>
              <w:jc w:val="center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C</w:t>
            </w:r>
            <w:r w:rsidRPr="00315786"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  <w:t>.</w:t>
            </w: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努力を要する</w:t>
            </w:r>
          </w:p>
        </w:tc>
      </w:tr>
      <w:tr w:rsidR="00E93870" w:rsidRPr="00315786" w14:paraId="186B4CB3" w14:textId="77777777" w:rsidTr="00315786">
        <w:trPr>
          <w:trHeight w:val="3532"/>
        </w:trPr>
        <w:tc>
          <w:tcPr>
            <w:tcW w:w="924" w:type="pct"/>
            <w:tcBorders>
              <w:top w:val="double" w:sz="4" w:space="0" w:color="auto"/>
              <w:right w:val="double" w:sz="4" w:space="0" w:color="auto"/>
            </w:tcBorders>
            <w:shd w:val="clear" w:color="auto" w:fill="DDDDDD"/>
          </w:tcPr>
          <w:p w14:paraId="255CC091" w14:textId="6677E33E" w:rsidR="00E93870" w:rsidRPr="00315786" w:rsidRDefault="00E93870" w:rsidP="00A83A72">
            <w:pPr>
              <w:rPr>
                <w:rFonts w:ascii="HG丸ｺﾞｼｯｸM-PRO" w:eastAsia="HG丸ｺﾞｼｯｸM-PRO" w:hAnsi="HG丸ｺﾞｼｯｸM-PRO" w:cs="Times New Roman"/>
                <w:bCs/>
                <w:sz w:val="24"/>
                <w:szCs w:val="24"/>
              </w:rPr>
            </w:pPr>
            <w:r w:rsidRPr="00315786">
              <w:rPr>
                <w:rFonts w:ascii="Trebuchet MS" w:eastAsia="HG丸ｺﾞｼｯｸM-PRO" w:hAnsi="Trebuchet MS" w:cs="Tahoma"/>
                <w:bCs/>
                <w:sz w:val="24"/>
                <w:szCs w:val="24"/>
              </w:rPr>
              <w:t>協同学習が成立した場面について，成立の条件に対応させながら具体的に説明できる。</w:t>
            </w:r>
          </w:p>
        </w:tc>
        <w:tc>
          <w:tcPr>
            <w:tcW w:w="1358" w:type="pct"/>
            <w:tcBorders>
              <w:top w:val="double" w:sz="4" w:space="0" w:color="auto"/>
              <w:left w:val="double" w:sz="4" w:space="0" w:color="auto"/>
            </w:tcBorders>
          </w:tcPr>
          <w:p w14:paraId="7254381D" w14:textId="77777777" w:rsidR="00E93870" w:rsidRPr="00315786" w:rsidRDefault="00E93870" w:rsidP="00A83A72">
            <w:pPr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以下が全て満たされている。</w:t>
            </w:r>
          </w:p>
          <w:p w14:paraId="23F9AEA4" w14:textId="72A0ACE7" w:rsidR="00E93870" w:rsidRPr="00315786" w:rsidRDefault="00E93870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具体的な場面が挙げられている。</w:t>
            </w:r>
          </w:p>
          <w:p w14:paraId="3CAD9807" w14:textId="7EC485C8" w:rsidR="00E93870" w:rsidRPr="00315786" w:rsidRDefault="00E93870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対応する</w:t>
            </w:r>
            <w:r w:rsid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原則</w:t>
            </w: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が理由とともに説明されている。</w:t>
            </w:r>
          </w:p>
          <w:p w14:paraId="6AAE2533" w14:textId="19FAD58F" w:rsidR="00E93870" w:rsidRPr="00315786" w:rsidRDefault="00E93870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場面と</w:t>
            </w:r>
            <w:r w:rsid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原則</w:t>
            </w: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の対応が適切である。</w:t>
            </w:r>
          </w:p>
        </w:tc>
        <w:tc>
          <w:tcPr>
            <w:tcW w:w="1359" w:type="pct"/>
            <w:tcBorders>
              <w:top w:val="double" w:sz="4" w:space="0" w:color="auto"/>
            </w:tcBorders>
          </w:tcPr>
          <w:p w14:paraId="35D5FB81" w14:textId="77777777" w:rsidR="00E93870" w:rsidRPr="00315786" w:rsidRDefault="00E93870" w:rsidP="00A83A72">
            <w:pPr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以下の内</w:t>
            </w:r>
            <w:r w:rsidRPr="00315786"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  <w:t>2つが満たされている。</w:t>
            </w:r>
          </w:p>
          <w:p w14:paraId="204B563E" w14:textId="77777777" w:rsidR="00315786" w:rsidRPr="00315786" w:rsidRDefault="00315786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具体的な場面が挙げられている。</w:t>
            </w:r>
          </w:p>
          <w:p w14:paraId="632EA66B" w14:textId="77777777" w:rsidR="00315786" w:rsidRDefault="00315786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対応する</w:t>
            </w:r>
            <w:r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原則</w:t>
            </w: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が理由とともに説明されている。</w:t>
            </w:r>
          </w:p>
          <w:p w14:paraId="4F21195C" w14:textId="4E95C836" w:rsidR="00E93870" w:rsidRPr="00315786" w:rsidRDefault="00315786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場面と原則の対応が適切である。</w:t>
            </w:r>
          </w:p>
        </w:tc>
        <w:tc>
          <w:tcPr>
            <w:tcW w:w="1359" w:type="pct"/>
            <w:tcBorders>
              <w:top w:val="double" w:sz="4" w:space="0" w:color="auto"/>
            </w:tcBorders>
          </w:tcPr>
          <w:p w14:paraId="43D6B617" w14:textId="77777777" w:rsidR="00E93870" w:rsidRPr="00315786" w:rsidRDefault="00E93870" w:rsidP="00A83A72">
            <w:pPr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以下の内</w:t>
            </w:r>
            <w:r w:rsidRPr="00315786"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  <w:t>1つが満たされている。</w:t>
            </w:r>
          </w:p>
          <w:p w14:paraId="5ADDEF64" w14:textId="77777777" w:rsidR="00315786" w:rsidRPr="00315786" w:rsidRDefault="00315786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具体的な場面が挙げられている。</w:t>
            </w:r>
          </w:p>
          <w:p w14:paraId="69D22196" w14:textId="77777777" w:rsidR="00315786" w:rsidRDefault="00315786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対応する</w:t>
            </w:r>
            <w:r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原則</w:t>
            </w: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が理由とともに説明されている。</w:t>
            </w:r>
          </w:p>
          <w:p w14:paraId="0CE71708" w14:textId="6DF84DEB" w:rsidR="00E93870" w:rsidRPr="00315786" w:rsidRDefault="00315786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場面と</w:t>
            </w:r>
            <w:r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原則</w:t>
            </w: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の対応が適切である。</w:t>
            </w:r>
          </w:p>
        </w:tc>
      </w:tr>
      <w:tr w:rsidR="00E93870" w:rsidRPr="00315786" w14:paraId="3EF7D439" w14:textId="77777777" w:rsidTr="00315786">
        <w:trPr>
          <w:trHeight w:val="3532"/>
        </w:trPr>
        <w:tc>
          <w:tcPr>
            <w:tcW w:w="924" w:type="pct"/>
            <w:tcBorders>
              <w:right w:val="double" w:sz="4" w:space="0" w:color="auto"/>
            </w:tcBorders>
            <w:shd w:val="clear" w:color="auto" w:fill="DDDDDD"/>
          </w:tcPr>
          <w:p w14:paraId="676A2ABE" w14:textId="1163B75F" w:rsidR="00E93870" w:rsidRPr="00315786" w:rsidRDefault="00E93870" w:rsidP="00A83A72">
            <w:pPr>
              <w:rPr>
                <w:rFonts w:ascii="HG丸ｺﾞｼｯｸM-PRO" w:eastAsia="HG丸ｺﾞｼｯｸM-PRO" w:hAnsi="HG丸ｺﾞｼｯｸM-PRO" w:cs="Times New Roman"/>
                <w:bCs/>
                <w:sz w:val="24"/>
                <w:szCs w:val="24"/>
              </w:rPr>
            </w:pPr>
            <w:r w:rsidRPr="00315786">
              <w:rPr>
                <w:rFonts w:ascii="Trebuchet MS" w:eastAsia="HG丸ｺﾞｼｯｸM-PRO" w:hAnsi="Trebuchet MS" w:cs="Tahoma"/>
                <w:bCs/>
                <w:sz w:val="24"/>
                <w:szCs w:val="24"/>
              </w:rPr>
              <w:t>協同学習が成立しなかった場面について，成立の条件に対応させながら具体的に説明できる。</w:t>
            </w:r>
          </w:p>
        </w:tc>
        <w:tc>
          <w:tcPr>
            <w:tcW w:w="1358" w:type="pct"/>
            <w:tcBorders>
              <w:left w:val="double" w:sz="4" w:space="0" w:color="auto"/>
            </w:tcBorders>
          </w:tcPr>
          <w:p w14:paraId="6EF6B24F" w14:textId="77777777" w:rsidR="00E93870" w:rsidRPr="00315786" w:rsidRDefault="00E93870" w:rsidP="00A83A72">
            <w:pPr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以下が全て満たされている。</w:t>
            </w:r>
          </w:p>
          <w:p w14:paraId="49605A9E" w14:textId="77777777" w:rsidR="00315786" w:rsidRPr="00315786" w:rsidRDefault="00315786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具体的な場面が挙げられている。</w:t>
            </w:r>
          </w:p>
          <w:p w14:paraId="77A51857" w14:textId="77777777" w:rsidR="00315786" w:rsidRDefault="00315786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対応する</w:t>
            </w:r>
            <w:r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原則</w:t>
            </w: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が理由とともに説明されている。</w:t>
            </w:r>
          </w:p>
          <w:p w14:paraId="439BCB79" w14:textId="145E1054" w:rsidR="00E93870" w:rsidRPr="00315786" w:rsidRDefault="00315786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場面と</w:t>
            </w:r>
            <w:r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原則</w:t>
            </w: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の対応が適切である。</w:t>
            </w:r>
          </w:p>
        </w:tc>
        <w:tc>
          <w:tcPr>
            <w:tcW w:w="1359" w:type="pct"/>
          </w:tcPr>
          <w:p w14:paraId="4AD9CC07" w14:textId="77777777" w:rsidR="00E93870" w:rsidRPr="00315786" w:rsidRDefault="00E93870" w:rsidP="00A83A72">
            <w:pPr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以下の内</w:t>
            </w:r>
            <w:r w:rsidRPr="00315786"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  <w:t>2つが満たされている。</w:t>
            </w:r>
          </w:p>
          <w:p w14:paraId="553E6EA7" w14:textId="77777777" w:rsidR="00315786" w:rsidRPr="00315786" w:rsidRDefault="00315786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具体的な場面が挙げられている。</w:t>
            </w:r>
          </w:p>
          <w:p w14:paraId="7DD6D7B2" w14:textId="77777777" w:rsidR="00315786" w:rsidRDefault="00315786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対応する</w:t>
            </w:r>
            <w:r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原則</w:t>
            </w: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が理由とともに説明されている。</w:t>
            </w:r>
          </w:p>
          <w:p w14:paraId="63115038" w14:textId="2CBD8653" w:rsidR="00E93870" w:rsidRPr="00315786" w:rsidRDefault="00315786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場面と</w:t>
            </w:r>
            <w:r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原則</w:t>
            </w: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の対応が適切である。</w:t>
            </w:r>
          </w:p>
        </w:tc>
        <w:tc>
          <w:tcPr>
            <w:tcW w:w="1359" w:type="pct"/>
          </w:tcPr>
          <w:p w14:paraId="2A3F621E" w14:textId="77777777" w:rsidR="00E93870" w:rsidRPr="00315786" w:rsidRDefault="00E93870" w:rsidP="00A83A72">
            <w:pPr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以下の内</w:t>
            </w:r>
            <w:r w:rsidRPr="00315786"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  <w:t>1つが満たされている。</w:t>
            </w:r>
          </w:p>
          <w:p w14:paraId="2CF9D4CC" w14:textId="77777777" w:rsidR="00315786" w:rsidRPr="00315786" w:rsidRDefault="00315786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具体的な場面が挙げられている。</w:t>
            </w:r>
          </w:p>
          <w:p w14:paraId="35DE533D" w14:textId="77777777" w:rsidR="00315786" w:rsidRDefault="00315786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対応する</w:t>
            </w:r>
            <w:r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原則</w:t>
            </w: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が理由とともに説明されている。</w:t>
            </w:r>
          </w:p>
          <w:p w14:paraId="3086D075" w14:textId="2745A52C" w:rsidR="00E93870" w:rsidRPr="00315786" w:rsidRDefault="00315786" w:rsidP="00315786">
            <w:pPr>
              <w:pStyle w:val="a7"/>
              <w:numPr>
                <w:ilvl w:val="0"/>
                <w:numId w:val="5"/>
              </w:numPr>
              <w:ind w:leftChars="0" w:left="362" w:hanging="362"/>
              <w:rPr>
                <w:rFonts w:ascii="HG丸ｺﾞｼｯｸM-PRO" w:eastAsia="HG丸ｺﾞｼｯｸM-PRO" w:hAnsi="HG丸ｺﾞｼｯｸM-PRO" w:cs="Times New Roman"/>
                <w:sz w:val="24"/>
                <w:szCs w:val="24"/>
              </w:rPr>
            </w:pP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場面と</w:t>
            </w:r>
            <w:r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原則</w:t>
            </w:r>
            <w:r w:rsidRPr="00315786">
              <w:rPr>
                <w:rFonts w:ascii="HG丸ｺﾞｼｯｸM-PRO" w:eastAsia="HG丸ｺﾞｼｯｸM-PRO" w:hAnsi="HG丸ｺﾞｼｯｸM-PRO" w:cs="Times New Roman" w:hint="eastAsia"/>
                <w:sz w:val="24"/>
                <w:szCs w:val="24"/>
              </w:rPr>
              <w:t>の対応が適切である。</w:t>
            </w:r>
          </w:p>
        </w:tc>
      </w:tr>
    </w:tbl>
    <w:p w14:paraId="070BDCC4" w14:textId="77777777" w:rsidR="00FA5318" w:rsidRPr="00E93870" w:rsidRDefault="00FA5318" w:rsidP="00E93870">
      <w:pPr>
        <w:snapToGrid w:val="0"/>
        <w:rPr>
          <w:sz w:val="24"/>
          <w:szCs w:val="24"/>
        </w:rPr>
      </w:pPr>
    </w:p>
    <w:sectPr w:rsidR="00FA5318" w:rsidRPr="00E93870" w:rsidSect="008C6D18">
      <w:headerReference w:type="default" r:id="rId8"/>
      <w:headerReference w:type="first" r:id="rId9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839EA" w14:textId="77777777" w:rsidR="007423EA" w:rsidRDefault="007423EA" w:rsidP="00B5106A">
      <w:r>
        <w:separator/>
      </w:r>
    </w:p>
  </w:endnote>
  <w:endnote w:type="continuationSeparator" w:id="0">
    <w:p w14:paraId="3EC65CEC" w14:textId="77777777" w:rsidR="007423EA" w:rsidRDefault="007423EA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ｺﾞｼｯｸM">
    <w:altName w:val="游ゴシック"/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B2C0A" w14:textId="77777777" w:rsidR="007423EA" w:rsidRDefault="007423EA" w:rsidP="00B5106A">
      <w:r>
        <w:separator/>
      </w:r>
    </w:p>
  </w:footnote>
  <w:footnote w:type="continuationSeparator" w:id="0">
    <w:p w14:paraId="0A9DC764" w14:textId="77777777" w:rsidR="007423EA" w:rsidRDefault="007423EA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36FE9890" w:rsidR="00B5106A" w:rsidRDefault="00E42E94" w:rsidP="00B5106A">
    <w:pPr>
      <w:pStyle w:val="a3"/>
      <w:jc w:val="left"/>
    </w:pPr>
    <w:r>
      <w:rPr>
        <w:rFonts w:hint="eastAsia"/>
      </w:rPr>
      <w:t>1</w:t>
    </w:r>
    <w:r w:rsidR="00B5106A">
      <w:rPr>
        <w:rFonts w:hint="eastAsia"/>
      </w:rPr>
      <w:t>章</w:t>
    </w:r>
    <w:r w:rsidR="00B5106A">
      <w:rPr>
        <w:rFonts w:hint="eastAsia"/>
      </w:rPr>
      <w:t>2</w:t>
    </w:r>
    <w:r w:rsidR="00B5106A">
      <w:rPr>
        <w:rFonts w:hint="eastAsia"/>
      </w:rPr>
      <w:t xml:space="preserve">節　</w:t>
    </w:r>
    <w:r w:rsidR="00E93870">
      <w:rPr>
        <w:rFonts w:hint="eastAsia"/>
      </w:rPr>
      <w:t>振り返る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1</w:t>
    </w:r>
    <w:r w:rsidR="00B5106A">
      <w:t>-2-</w:t>
    </w:r>
    <w:r w:rsidR="00E93870">
      <w:t>7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E5CA3"/>
    <w:multiLevelType w:val="hybridMultilevel"/>
    <w:tmpl w:val="61CEB7FC"/>
    <w:lvl w:ilvl="0" w:tplc="BDC842D0">
      <w:start w:val="2"/>
      <w:numFmt w:val="bullet"/>
      <w:lvlText w:val="□"/>
      <w:lvlJc w:val="left"/>
      <w:pPr>
        <w:ind w:left="420" w:hanging="42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55DCA"/>
    <w:multiLevelType w:val="hybridMultilevel"/>
    <w:tmpl w:val="322A021C"/>
    <w:lvl w:ilvl="0" w:tplc="DD5CA3F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51208A1A">
      <w:start w:val="5"/>
      <w:numFmt w:val="bullet"/>
      <w:lvlText w:val="・"/>
      <w:lvlJc w:val="left"/>
      <w:pPr>
        <w:ind w:left="78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C1A2807"/>
    <w:multiLevelType w:val="hybridMultilevel"/>
    <w:tmpl w:val="BA68C310"/>
    <w:lvl w:ilvl="0" w:tplc="DF346580">
      <w:start w:val="2"/>
      <w:numFmt w:val="bullet"/>
      <w:lvlText w:val="・"/>
      <w:lvlJc w:val="left"/>
      <w:pPr>
        <w:ind w:left="42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CA32C52"/>
    <w:multiLevelType w:val="hybridMultilevel"/>
    <w:tmpl w:val="CE6A50C2"/>
    <w:lvl w:ilvl="0" w:tplc="C30050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5F86C3A"/>
    <w:multiLevelType w:val="hybridMultilevel"/>
    <w:tmpl w:val="9A507C98"/>
    <w:lvl w:ilvl="0" w:tplc="BDC842D0">
      <w:start w:val="2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1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96F61"/>
    <w:rsid w:val="001D5BF9"/>
    <w:rsid w:val="001F7FB9"/>
    <w:rsid w:val="00315786"/>
    <w:rsid w:val="005817D9"/>
    <w:rsid w:val="005C6C4D"/>
    <w:rsid w:val="00700A2C"/>
    <w:rsid w:val="0071345C"/>
    <w:rsid w:val="007423EA"/>
    <w:rsid w:val="0083414A"/>
    <w:rsid w:val="008B68A7"/>
    <w:rsid w:val="008C6D18"/>
    <w:rsid w:val="00AB5A72"/>
    <w:rsid w:val="00B16718"/>
    <w:rsid w:val="00B5106A"/>
    <w:rsid w:val="00BA6900"/>
    <w:rsid w:val="00BB3A12"/>
    <w:rsid w:val="00C041C9"/>
    <w:rsid w:val="00CE7CA2"/>
    <w:rsid w:val="00E42E94"/>
    <w:rsid w:val="00E93870"/>
    <w:rsid w:val="00EA0C14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EA0C14"/>
    <w:pPr>
      <w:ind w:leftChars="400" w:left="840"/>
    </w:pPr>
  </w:style>
  <w:style w:type="table" w:customStyle="1" w:styleId="2">
    <w:name w:val="表 (格子)2"/>
    <w:basedOn w:val="a1"/>
    <w:next w:val="a8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A0C1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1">
    <w:name w:val="表 (格子)11"/>
    <w:basedOn w:val="a1"/>
    <w:next w:val="a8"/>
    <w:uiPriority w:val="39"/>
    <w:rsid w:val="00E93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E5AA0A-C7CB-40D2-B742-450D22C846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E3C5E7-2D19-40FF-97F4-D64A513CBA29}"/>
</file>

<file path=customXml/itemProps3.xml><?xml version="1.0" encoding="utf-8"?>
<ds:datastoreItem xmlns:ds="http://schemas.openxmlformats.org/officeDocument/2006/customXml" ds:itemID="{295AD8F7-81EA-4183-8CCC-62CDA3510A73}"/>
</file>

<file path=customXml/itemProps4.xml><?xml version="1.0" encoding="utf-8"?>
<ds:datastoreItem xmlns:ds="http://schemas.openxmlformats.org/officeDocument/2006/customXml" ds:itemID="{0DD2186D-A4E6-46D3-8431-19E7001C59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齋藤 ひとみ</cp:lastModifiedBy>
  <cp:revision>4</cp:revision>
  <dcterms:created xsi:type="dcterms:W3CDTF">2019-04-01T05:56:00Z</dcterms:created>
  <dcterms:modified xsi:type="dcterms:W3CDTF">2019-04-01T12:16:00Z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