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diagrams/data1.xml" ContentType="application/vnd.openxmlformats-officedocument.drawingml.diagramData+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B7BE78" w14:textId="4857EC7F" w:rsidR="009632B2" w:rsidRPr="00F57B99" w:rsidRDefault="009632B2" w:rsidP="009632B2">
      <w:pPr>
        <w:widowControl/>
        <w:ind w:left="565" w:hangingChars="257" w:hanging="565"/>
        <w:jc w:val="left"/>
        <w:rPr>
          <w:sz w:val="22"/>
        </w:rPr>
      </w:pPr>
      <w:r w:rsidRPr="763DE278">
        <w:rPr>
          <w:sz w:val="22"/>
        </w:rPr>
        <w:t>【</w:t>
      </w:r>
      <w:r>
        <w:rPr>
          <w:sz w:val="22"/>
        </w:rPr>
        <w:t>1</w:t>
      </w:r>
      <w:r w:rsidRPr="763DE278">
        <w:rPr>
          <w:sz w:val="22"/>
        </w:rPr>
        <w:t>】</w:t>
      </w:r>
      <w:r>
        <w:rPr>
          <w:rFonts w:hint="eastAsia"/>
          <w:sz w:val="22"/>
        </w:rPr>
        <w:t>本書で</w:t>
      </w:r>
      <w:r w:rsidRPr="763DE278">
        <w:rPr>
          <w:sz w:val="22"/>
        </w:rPr>
        <w:t>は</w:t>
      </w:r>
      <w:r>
        <w:rPr>
          <w:rFonts w:hint="eastAsia"/>
          <w:sz w:val="22"/>
        </w:rPr>
        <w:t>「わかる【</w:t>
      </w:r>
      <w:r>
        <w:rPr>
          <w:rFonts w:hint="eastAsia"/>
          <w:sz w:val="22"/>
        </w:rPr>
        <w:t>6</w:t>
      </w:r>
      <w:r>
        <w:rPr>
          <w:rFonts w:hint="eastAsia"/>
          <w:sz w:val="22"/>
        </w:rPr>
        <w:t>】</w:t>
      </w:r>
      <w:r>
        <w:rPr>
          <w:rFonts w:hint="eastAsia"/>
          <w:sz w:val="22"/>
        </w:rPr>
        <w:t>(P</w:t>
      </w:r>
      <w:r>
        <w:rPr>
          <w:sz w:val="22"/>
        </w:rPr>
        <w:t>21)</w:t>
      </w:r>
      <w:r>
        <w:rPr>
          <w:rFonts w:hint="eastAsia"/>
          <w:sz w:val="22"/>
        </w:rPr>
        <w:t>」で示した通り、</w:t>
      </w:r>
      <w:r w:rsidRPr="763DE278">
        <w:rPr>
          <w:sz w:val="22"/>
        </w:rPr>
        <w:t>「目指す</w:t>
      </w:r>
      <w:r>
        <w:rPr>
          <w:rFonts w:hint="eastAsia"/>
          <w:sz w:val="22"/>
        </w:rPr>
        <w:t>→</w:t>
      </w:r>
      <w:r w:rsidRPr="763DE278">
        <w:rPr>
          <w:sz w:val="22"/>
        </w:rPr>
        <w:t>つかむ（事前学習）</w:t>
      </w:r>
      <w:r>
        <w:rPr>
          <w:rFonts w:hint="eastAsia"/>
          <w:sz w:val="22"/>
        </w:rPr>
        <w:t>→</w:t>
      </w:r>
      <w:r w:rsidRPr="763DE278">
        <w:rPr>
          <w:sz w:val="22"/>
        </w:rPr>
        <w:t>わかる</w:t>
      </w:r>
      <w:r>
        <w:rPr>
          <w:rFonts w:hint="eastAsia"/>
          <w:sz w:val="22"/>
        </w:rPr>
        <w:t>→</w:t>
      </w:r>
      <w:r w:rsidRPr="763DE278">
        <w:rPr>
          <w:sz w:val="22"/>
        </w:rPr>
        <w:t>使える</w:t>
      </w:r>
      <w:r>
        <w:rPr>
          <w:rFonts w:hint="eastAsia"/>
          <w:sz w:val="22"/>
        </w:rPr>
        <w:t>→</w:t>
      </w:r>
      <w:r w:rsidRPr="763DE278">
        <w:rPr>
          <w:sz w:val="22"/>
        </w:rPr>
        <w:t>学んだ内容を振り返る</w:t>
      </w:r>
      <w:r>
        <w:rPr>
          <w:rFonts w:hint="eastAsia"/>
          <w:sz w:val="22"/>
        </w:rPr>
        <w:t>→</w:t>
      </w:r>
      <w:r w:rsidRPr="763DE278">
        <w:rPr>
          <w:sz w:val="22"/>
        </w:rPr>
        <w:t>学び方を振り返る」の</w:t>
      </w:r>
      <w:r>
        <w:rPr>
          <w:rFonts w:hint="eastAsia"/>
          <w:sz w:val="22"/>
        </w:rPr>
        <w:t>ステップ</w:t>
      </w:r>
      <w:r w:rsidRPr="763DE278">
        <w:rPr>
          <w:sz w:val="22"/>
        </w:rPr>
        <w:t>を通して構成しています。それぞれのプロセスが、</w:t>
      </w:r>
      <w:r>
        <w:rPr>
          <w:rFonts w:hint="eastAsia"/>
          <w:sz w:val="22"/>
        </w:rPr>
        <w:t>「わかる</w:t>
      </w:r>
      <w:r w:rsidRPr="005068C6">
        <w:rPr>
          <w:rFonts w:hint="eastAsia"/>
          <w:sz w:val="22"/>
        </w:rPr>
        <w:t>【</w:t>
      </w:r>
      <w:r>
        <w:rPr>
          <w:rFonts w:hint="eastAsia"/>
          <w:sz w:val="22"/>
        </w:rPr>
        <w:t>3</w:t>
      </w:r>
      <w:r w:rsidRPr="005068C6">
        <w:rPr>
          <w:rFonts w:hint="eastAsia"/>
          <w:sz w:val="22"/>
        </w:rPr>
        <w:t>】内化―外化―内化’の往還</w:t>
      </w:r>
      <w:r w:rsidRPr="763DE278">
        <w:rPr>
          <w:sz w:val="22"/>
        </w:rPr>
        <w:t>（</w:t>
      </w:r>
      <w:r>
        <w:rPr>
          <w:rFonts w:hint="eastAsia"/>
          <w:sz w:val="22"/>
        </w:rPr>
        <w:t>p</w:t>
      </w:r>
      <w:r>
        <w:rPr>
          <w:rFonts w:hint="eastAsia"/>
          <w:sz w:val="22"/>
        </w:rPr>
        <w:t>1</w:t>
      </w:r>
      <w:r>
        <w:rPr>
          <w:sz w:val="22"/>
        </w:rPr>
        <w:t>8</w:t>
      </w:r>
      <w:r>
        <w:rPr>
          <w:rFonts w:hint="eastAsia"/>
          <w:sz w:val="22"/>
        </w:rPr>
        <w:t>）」とどの</w:t>
      </w:r>
      <w:r w:rsidRPr="763DE278">
        <w:rPr>
          <w:sz w:val="22"/>
        </w:rPr>
        <w:t>ように対応づけられるか</w:t>
      </w:r>
      <w:r>
        <w:rPr>
          <w:rFonts w:hint="eastAsia"/>
          <w:sz w:val="22"/>
        </w:rPr>
        <w:t>を説明しましょう。</w:t>
      </w:r>
    </w:p>
    <w:p w14:paraId="6312D7E9" w14:textId="77777777" w:rsidR="009632B2" w:rsidRDefault="009632B2" w:rsidP="009632B2">
      <w:pPr>
        <w:widowControl/>
        <w:jc w:val="left"/>
        <w:rPr>
          <w:sz w:val="22"/>
        </w:rPr>
      </w:pPr>
    </w:p>
    <w:p w14:paraId="64F1E913" w14:textId="77777777" w:rsidR="009632B2" w:rsidRPr="001C7BAD" w:rsidRDefault="009632B2" w:rsidP="009632B2">
      <w:pPr>
        <w:pStyle w:val="a7"/>
        <w:numPr>
          <w:ilvl w:val="0"/>
          <w:numId w:val="1"/>
        </w:numPr>
        <w:ind w:leftChars="0"/>
      </w:pPr>
      <w:r>
        <w:rPr>
          <w:rFonts w:hint="eastAsia"/>
        </w:rPr>
        <w:t>6</w:t>
      </w:r>
      <w:r>
        <w:rPr>
          <w:rFonts w:hint="eastAsia"/>
        </w:rPr>
        <w:t>つのステップの、どこからどこまでが</w:t>
      </w:r>
      <w:r w:rsidRPr="00022356">
        <w:rPr>
          <w:sz w:val="22"/>
        </w:rPr>
        <w:t>「内化」「外化」「内化</w:t>
      </w:r>
      <w:r w:rsidRPr="00022356">
        <w:rPr>
          <w:sz w:val="22"/>
        </w:rPr>
        <w:t>’</w:t>
      </w:r>
      <w:r w:rsidRPr="00022356">
        <w:rPr>
          <w:sz w:val="22"/>
        </w:rPr>
        <w:t>」</w:t>
      </w:r>
      <w:r w:rsidRPr="00022356">
        <w:rPr>
          <w:rFonts w:hint="eastAsia"/>
          <w:sz w:val="22"/>
        </w:rPr>
        <w:t>なのかを図</w:t>
      </w:r>
      <w:r>
        <w:rPr>
          <w:rFonts w:hint="eastAsia"/>
          <w:sz w:val="22"/>
        </w:rPr>
        <w:t>1</w:t>
      </w:r>
      <w:r>
        <w:rPr>
          <w:sz w:val="22"/>
        </w:rPr>
        <w:t>-2-7</w:t>
      </w:r>
      <w:r>
        <w:rPr>
          <w:rFonts w:hint="eastAsia"/>
          <w:sz w:val="22"/>
        </w:rPr>
        <w:t>に図</w:t>
      </w:r>
      <w:r w:rsidRPr="00022356">
        <w:rPr>
          <w:rFonts w:hint="eastAsia"/>
          <w:sz w:val="22"/>
        </w:rPr>
        <w:t>示しましょう</w:t>
      </w:r>
    </w:p>
    <w:p w14:paraId="070BDCC4" w14:textId="26A2820B" w:rsidR="00FA5318" w:rsidRDefault="009632B2">
      <w:r>
        <w:rPr>
          <w:noProof/>
          <w:sz w:val="22"/>
        </w:rPr>
        <mc:AlternateContent>
          <mc:Choice Requires="wps">
            <w:drawing>
              <wp:anchor distT="0" distB="0" distL="114300" distR="114300" simplePos="0" relativeHeight="251661312" behindDoc="0" locked="0" layoutInCell="1" allowOverlap="1" wp14:anchorId="771FFAC3" wp14:editId="49FC1D03">
                <wp:simplePos x="0" y="0"/>
                <wp:positionH relativeFrom="margin">
                  <wp:posOffset>83820</wp:posOffset>
                </wp:positionH>
                <wp:positionV relativeFrom="paragraph">
                  <wp:posOffset>1652905</wp:posOffset>
                </wp:positionV>
                <wp:extent cx="4091940" cy="251460"/>
                <wp:effectExtent l="0" t="0" r="3810" b="0"/>
                <wp:wrapNone/>
                <wp:docPr id="1"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1940" cy="251460"/>
                        </a:xfrm>
                        <a:prstGeom prst="rect">
                          <a:avLst/>
                        </a:prstGeom>
                        <a:solidFill>
                          <a:srgbClr val="FFFFFF"/>
                        </a:solidFill>
                        <a:ln w="9525">
                          <a:noFill/>
                          <a:miter lim="800000"/>
                          <a:headEnd/>
                          <a:tailEnd/>
                        </a:ln>
                      </wps:spPr>
                      <wps:txbx>
                        <w:txbxContent>
                          <w:p w14:paraId="0EC602BC" w14:textId="77777777" w:rsidR="009632B2" w:rsidRDefault="009632B2" w:rsidP="009632B2">
                            <w:r>
                              <w:rPr>
                                <w:rFonts w:hint="eastAsia"/>
                              </w:rPr>
                              <w:t>図</w:t>
                            </w:r>
                            <w:r>
                              <w:rPr>
                                <w:rFonts w:hint="eastAsia"/>
                              </w:rPr>
                              <w:t>1-2-7</w:t>
                            </w:r>
                            <w:r>
                              <w:rPr>
                                <w:rFonts w:hint="eastAsia"/>
                              </w:rPr>
                              <w:t xml:space="preserve">　ワークブックの学び方の</w:t>
                            </w:r>
                            <w:r>
                              <w:rPr>
                                <w:rFonts w:hint="eastAsia"/>
                              </w:rPr>
                              <w:t>6</w:t>
                            </w:r>
                            <w:r>
                              <w:rPr>
                                <w:rFonts w:hint="eastAsia"/>
                              </w:rPr>
                              <w:t>（</w:t>
                            </w:r>
                            <w:r>
                              <w:rPr>
                                <w:rFonts w:hint="eastAsia"/>
                              </w:rPr>
                              <w:t>5+1</w:t>
                            </w:r>
                            <w:r>
                              <w:rPr>
                                <w:rFonts w:hint="eastAsia"/>
                              </w:rPr>
                              <w:t>）つのステップ</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1FFAC3" id="_x0000_t202" coordsize="21600,21600" o:spt="202" path="m,l,21600r21600,l21600,xe">
                <v:stroke joinstyle="miter"/>
                <v:path gradientshapeok="t" o:connecttype="rect"/>
              </v:shapetype>
              <v:shape id="Text Box 81" o:spid="_x0000_s1026" type="#_x0000_t202" style="position:absolute;left:0;text-align:left;margin-left:6.6pt;margin-top:130.15pt;width:322.2pt;height:19.8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" stroked="f">
                <v:textbox inset="5.85pt,.7pt,5.85pt,.7pt">
                  <w:txbxContent>
                    <w:p w14:paraId="0EC602BC" w14:textId="77777777" w:rsidR="009632B2" w:rsidRDefault="009632B2" w:rsidP="009632B2">
                      <w:r>
                        <w:rPr>
                          <w:rFonts w:hint="eastAsia"/>
                        </w:rPr>
                        <w:t>図</w:t>
                      </w:r>
                      <w:r>
                        <w:rPr>
                          <w:rFonts w:hint="eastAsia"/>
                        </w:rPr>
                        <w:t>1-2-7</w:t>
                      </w:r>
                      <w:r>
                        <w:rPr>
                          <w:rFonts w:hint="eastAsia"/>
                        </w:rPr>
                        <w:t xml:space="preserve">　ワークブックの学び方の</w:t>
                      </w:r>
                      <w:r>
                        <w:rPr>
                          <w:rFonts w:hint="eastAsia"/>
                        </w:rPr>
                        <w:t>6</w:t>
                      </w:r>
                      <w:r>
                        <w:rPr>
                          <w:rFonts w:hint="eastAsia"/>
                        </w:rPr>
                        <w:t>（</w:t>
                      </w:r>
                      <w:r>
                        <w:rPr>
                          <w:rFonts w:hint="eastAsia"/>
                        </w:rPr>
                        <w:t>5+1</w:t>
                      </w:r>
                      <w:r>
                        <w:rPr>
                          <w:rFonts w:hint="eastAsia"/>
                        </w:rPr>
                        <w:t>）つのステップ</w:t>
                      </w:r>
                    </w:p>
                  </w:txbxContent>
                </v:textbox>
                <w10:wrap anchorx="margin"/>
              </v:shape>
            </w:pict>
          </mc:Fallback>
        </mc:AlternateContent>
      </w:r>
      <w:r>
        <w:rPr>
          <w:noProof/>
          <w:sz w:val="22"/>
        </w:rPr>
        <mc:AlternateContent>
          <mc:Choice Requires="wps">
            <w:drawing>
              <wp:anchor distT="0" distB="0" distL="114300" distR="114300" simplePos="0" relativeHeight="251659264" behindDoc="0" locked="0" layoutInCell="1" allowOverlap="1" wp14:anchorId="6D0EE334" wp14:editId="6F2F241E">
                <wp:simplePos x="0" y="0"/>
                <wp:positionH relativeFrom="margin">
                  <wp:posOffset>0</wp:posOffset>
                </wp:positionH>
                <wp:positionV relativeFrom="paragraph">
                  <wp:posOffset>-635</wp:posOffset>
                </wp:positionV>
                <wp:extent cx="4091940" cy="251460"/>
                <wp:effectExtent l="0" t="0" r="3810" b="0"/>
                <wp:wrapNone/>
                <wp:docPr id="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1940" cy="251460"/>
                        </a:xfrm>
                        <a:prstGeom prst="rect">
                          <a:avLst/>
                        </a:prstGeom>
                        <a:solidFill>
                          <a:srgbClr val="FFFFFF"/>
                        </a:solidFill>
                        <a:ln w="9525">
                          <a:noFill/>
                          <a:miter lim="800000"/>
                          <a:headEnd/>
                          <a:tailEnd/>
                        </a:ln>
                      </wps:spPr>
                      <wps:txbx>
                        <w:txbxContent>
                          <w:p w14:paraId="6D03B6B2" w14:textId="77777777" w:rsidR="009632B2" w:rsidRDefault="009632B2" w:rsidP="009632B2">
                            <w:r>
                              <w:rPr>
                                <w:rFonts w:hint="eastAsia"/>
                              </w:rPr>
                              <w:t>図</w:t>
                            </w:r>
                            <w:r>
                              <w:rPr>
                                <w:rFonts w:hint="eastAsia"/>
                              </w:rPr>
                              <w:t>1-2-7</w:t>
                            </w:r>
                            <w:r>
                              <w:rPr>
                                <w:rFonts w:hint="eastAsia"/>
                              </w:rPr>
                              <w:t xml:space="preserve">　ワークブックの学び方の</w:t>
                            </w:r>
                            <w:r>
                              <w:rPr>
                                <w:rFonts w:hint="eastAsia"/>
                              </w:rPr>
                              <w:t>6</w:t>
                            </w:r>
                            <w:r>
                              <w:rPr>
                                <w:rFonts w:hint="eastAsia"/>
                              </w:rPr>
                              <w:t>（</w:t>
                            </w:r>
                            <w:r>
                              <w:rPr>
                                <w:rFonts w:hint="eastAsia"/>
                              </w:rPr>
                              <w:t>5+1</w:t>
                            </w:r>
                            <w:r>
                              <w:rPr>
                                <w:rFonts w:hint="eastAsia"/>
                              </w:rPr>
                              <w:t>）つのステップ</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0EE334" id="_x0000_s1027" type="#_x0000_t202" style="position:absolute;left:0;text-align:left;margin-left:0;margin-top:-.05pt;width:322.2pt;height:19.8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" stroked="f">
                <v:textbox inset="5.85pt,.7pt,5.85pt,.7pt">
                  <w:txbxContent>
                    <w:p w14:paraId="6D03B6B2" w14:textId="77777777" w:rsidR="009632B2" w:rsidRDefault="009632B2" w:rsidP="009632B2">
                      <w:r>
                        <w:rPr>
                          <w:rFonts w:hint="eastAsia"/>
                        </w:rPr>
                        <w:t>図</w:t>
                      </w:r>
                      <w:r>
                        <w:rPr>
                          <w:rFonts w:hint="eastAsia"/>
                        </w:rPr>
                        <w:t>1-2-7</w:t>
                      </w:r>
                      <w:r>
                        <w:rPr>
                          <w:rFonts w:hint="eastAsia"/>
                        </w:rPr>
                        <w:t xml:space="preserve">　ワークブックの学び方の</w:t>
                      </w:r>
                      <w:r>
                        <w:rPr>
                          <w:rFonts w:hint="eastAsia"/>
                        </w:rPr>
                        <w:t>6</w:t>
                      </w:r>
                      <w:r>
                        <w:rPr>
                          <w:rFonts w:hint="eastAsia"/>
                        </w:rPr>
                        <w:t>（</w:t>
                      </w:r>
                      <w:r>
                        <w:rPr>
                          <w:rFonts w:hint="eastAsia"/>
                        </w:rPr>
                        <w:t>5+1</w:t>
                      </w:r>
                      <w:r>
                        <w:rPr>
                          <w:rFonts w:hint="eastAsia"/>
                        </w:rPr>
                        <w:t>）つのステップ</w:t>
                      </w:r>
                    </w:p>
                  </w:txbxContent>
                </v:textbox>
                <w10:wrap anchorx="margin"/>
              </v:shape>
            </w:pict>
          </mc:Fallback>
        </mc:AlternateContent>
      </w:r>
      <w:r>
        <w:rPr>
          <w:rFonts w:hint="eastAsia"/>
          <w:noProof/>
          <w:sz w:val="22"/>
        </w:rPr>
        <w:drawing>
          <wp:inline distT="0" distB="0" distL="0" distR="0" wp14:anchorId="341E6BDA" wp14:editId="0E1C59FF">
            <wp:extent cx="5974080" cy="1668780"/>
            <wp:effectExtent l="0" t="0" r="26670" b="0"/>
            <wp:docPr id="10" name="図表 1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397D046E" w14:textId="29DD3762" w:rsidR="009632B2" w:rsidRDefault="009632B2"/>
    <w:p w14:paraId="39E6D6A5" w14:textId="67C55A2C" w:rsidR="009632B2" w:rsidRDefault="009632B2"/>
    <w:p w14:paraId="192128D9" w14:textId="2828BEA9" w:rsidR="009632B2" w:rsidRDefault="009632B2"/>
    <w:p w14:paraId="3E272B37" w14:textId="63B7BA18" w:rsidR="009632B2" w:rsidRDefault="009632B2"/>
    <w:p w14:paraId="1BAE4C23" w14:textId="77777777" w:rsidR="009632B2" w:rsidRDefault="009632B2">
      <w:pPr>
        <w:rPr>
          <w:rFonts w:hint="eastAsia"/>
        </w:rPr>
      </w:pPr>
    </w:p>
    <w:p w14:paraId="5686963A" w14:textId="03263967" w:rsidR="009632B2" w:rsidRPr="009632B2" w:rsidRDefault="009632B2" w:rsidP="009632B2">
      <w:pPr>
        <w:pStyle w:val="a7"/>
        <w:widowControl/>
        <w:numPr>
          <w:ilvl w:val="0"/>
          <w:numId w:val="1"/>
        </w:numPr>
        <w:ind w:leftChars="0"/>
        <w:jc w:val="left"/>
        <w:rPr>
          <w:sz w:val="22"/>
        </w:rPr>
      </w:pPr>
      <w:r w:rsidRPr="009632B2">
        <w:rPr>
          <w:rFonts w:hint="eastAsia"/>
          <w:sz w:val="22"/>
        </w:rPr>
        <w:t>上記（</w:t>
      </w:r>
      <w:r w:rsidRPr="009632B2">
        <w:rPr>
          <w:rFonts w:hint="eastAsia"/>
          <w:sz w:val="22"/>
        </w:rPr>
        <w:t>1</w:t>
      </w:r>
      <w:r w:rsidRPr="009632B2">
        <w:rPr>
          <w:rFonts w:hint="eastAsia"/>
          <w:sz w:val="22"/>
        </w:rPr>
        <w:t>）</w:t>
      </w:r>
      <w:r w:rsidRPr="009632B2">
        <w:rPr>
          <w:rFonts w:hint="eastAsia"/>
          <w:sz w:val="22"/>
        </w:rPr>
        <w:t>のような学び方が必要かを、この章で学んだことを</w:t>
      </w:r>
      <w:r w:rsidRPr="009632B2">
        <w:rPr>
          <w:rFonts w:hint="eastAsia"/>
          <w:sz w:val="22"/>
        </w:rPr>
        <w:t>もと</w:t>
      </w:r>
      <w:r w:rsidRPr="009632B2">
        <w:rPr>
          <w:rFonts w:hint="eastAsia"/>
          <w:sz w:val="22"/>
        </w:rPr>
        <w:t>に説明しましょう。</w:t>
      </w:r>
      <w:r>
        <w:rPr>
          <w:rFonts w:hint="eastAsia"/>
          <w:sz w:val="22"/>
        </w:rPr>
        <w:t>そして、下のルーブリックにしたがって評価しましょう。</w:t>
      </w:r>
    </w:p>
    <w:p w14:paraId="47471B17" w14:textId="19BAA1A0" w:rsidR="009632B2" w:rsidRDefault="009632B2" w:rsidP="009632B2">
      <w:pPr>
        <w:widowControl/>
        <w:jc w:val="left"/>
        <w:rPr>
          <w:sz w:val="22"/>
        </w:rPr>
      </w:pPr>
    </w:p>
    <w:p w14:paraId="27D7383D" w14:textId="06955015" w:rsidR="009632B2" w:rsidRDefault="009632B2" w:rsidP="009632B2">
      <w:pPr>
        <w:widowControl/>
        <w:jc w:val="left"/>
        <w:rPr>
          <w:sz w:val="22"/>
        </w:rPr>
      </w:pPr>
    </w:p>
    <w:p w14:paraId="292DF9E4" w14:textId="63D86582" w:rsidR="009632B2" w:rsidRDefault="009632B2" w:rsidP="009632B2">
      <w:pPr>
        <w:widowControl/>
        <w:jc w:val="left"/>
        <w:rPr>
          <w:sz w:val="22"/>
        </w:rPr>
      </w:pPr>
    </w:p>
    <w:p w14:paraId="7FBB2994" w14:textId="6C74E441" w:rsidR="009632B2" w:rsidRDefault="009632B2" w:rsidP="009632B2">
      <w:pPr>
        <w:widowControl/>
        <w:jc w:val="left"/>
        <w:rPr>
          <w:sz w:val="22"/>
        </w:rPr>
      </w:pPr>
    </w:p>
    <w:p w14:paraId="5B658887" w14:textId="613377A3" w:rsidR="009632B2" w:rsidRDefault="009632B2" w:rsidP="009632B2">
      <w:pPr>
        <w:widowControl/>
        <w:jc w:val="left"/>
        <w:rPr>
          <w:sz w:val="22"/>
        </w:rPr>
      </w:pPr>
    </w:p>
    <w:p w14:paraId="0E8184D4" w14:textId="21456B31" w:rsidR="009632B2" w:rsidRDefault="009632B2" w:rsidP="009632B2">
      <w:pPr>
        <w:widowControl/>
        <w:jc w:val="left"/>
        <w:rPr>
          <w:sz w:val="22"/>
        </w:rPr>
      </w:pPr>
    </w:p>
    <w:p w14:paraId="7F2DFCA1" w14:textId="2241B7C8" w:rsidR="009632B2" w:rsidRDefault="009632B2" w:rsidP="009632B2">
      <w:pPr>
        <w:widowControl/>
        <w:jc w:val="left"/>
        <w:rPr>
          <w:sz w:val="22"/>
        </w:rPr>
      </w:pPr>
    </w:p>
    <w:p w14:paraId="4E3440E8" w14:textId="77777777" w:rsidR="009632B2" w:rsidRDefault="009632B2" w:rsidP="009632B2">
      <w:pPr>
        <w:widowControl/>
        <w:jc w:val="left"/>
        <w:rPr>
          <w:rFonts w:hint="eastAsia"/>
          <w:sz w:val="22"/>
        </w:rPr>
      </w:pPr>
      <w:bookmarkStart w:id="0" w:name="_GoBack"/>
      <w:bookmarkEnd w:id="0"/>
    </w:p>
    <w:p w14:paraId="31C9A549" w14:textId="77777777" w:rsidR="009632B2" w:rsidRDefault="009632B2" w:rsidP="009632B2">
      <w:r>
        <w:rPr>
          <w:rFonts w:hint="eastAsia"/>
        </w:rPr>
        <w:t>［本書の学び方の説明に関するルーブリック］</w:t>
      </w:r>
    </w:p>
    <w:tbl>
      <w:tblPr>
        <w:tblStyle w:val="1"/>
        <w:tblW w:w="10485" w:type="dxa"/>
        <w:tblLook w:val="04A0" w:firstRow="1" w:lastRow="0" w:firstColumn="1" w:lastColumn="0" w:noHBand="0" w:noVBand="1"/>
      </w:tblPr>
      <w:tblGrid>
        <w:gridCol w:w="1780"/>
        <w:gridCol w:w="2618"/>
        <w:gridCol w:w="2618"/>
        <w:gridCol w:w="3469"/>
      </w:tblGrid>
      <w:tr w:rsidR="009632B2" w:rsidRPr="001E4565" w14:paraId="3E76FC06" w14:textId="77777777" w:rsidTr="009632B2">
        <w:trPr>
          <w:trHeight w:val="660"/>
        </w:trPr>
        <w:tc>
          <w:tcPr>
            <w:tcW w:w="1780" w:type="dxa"/>
            <w:tcBorders>
              <w:top w:val="single" w:sz="4" w:space="0" w:color="auto"/>
              <w:bottom w:val="double" w:sz="4" w:space="0" w:color="auto"/>
              <w:right w:val="double" w:sz="4" w:space="0" w:color="auto"/>
              <w:tl2br w:val="single" w:sz="4" w:space="0" w:color="auto"/>
            </w:tcBorders>
            <w:shd w:val="clear" w:color="auto" w:fill="DDDDDD"/>
          </w:tcPr>
          <w:p w14:paraId="1FD6BD16" w14:textId="77777777" w:rsidR="009632B2" w:rsidRDefault="009632B2" w:rsidP="00943304">
            <w:pPr>
              <w:jc w:val="right"/>
              <w:rPr>
                <w:rFonts w:ascii="HG丸ｺﾞｼｯｸM-PRO" w:eastAsia="HG丸ｺﾞｼｯｸM-PRO" w:hAnsi="HG丸ｺﾞｼｯｸM-PRO" w:cs="Times New Roman"/>
                <w:b/>
                <w:lang w:eastAsia="zh-TW"/>
              </w:rPr>
            </w:pPr>
            <w:r>
              <w:rPr>
                <w:rFonts w:ascii="HG丸ｺﾞｼｯｸM-PRO" w:eastAsia="HG丸ｺﾞｼｯｸM-PRO" w:hAnsi="HG丸ｺﾞｼｯｸM-PRO" w:cs="Times New Roman" w:hint="eastAsia"/>
                <w:b/>
                <w:lang w:eastAsia="zh-TW"/>
              </w:rPr>
              <w:t>評価基準</w:t>
            </w:r>
          </w:p>
          <w:p w14:paraId="0C20A71F" w14:textId="77777777" w:rsidR="009632B2" w:rsidRPr="001E4565" w:rsidRDefault="009632B2" w:rsidP="00943304">
            <w:pPr>
              <w:jc w:val="left"/>
              <w:rPr>
                <w:rFonts w:ascii="HG丸ｺﾞｼｯｸM-PRO" w:eastAsia="HG丸ｺﾞｼｯｸM-PRO" w:hAnsi="HG丸ｺﾞｼｯｸM-PRO" w:cs="Times New Roman"/>
                <w:b/>
                <w:lang w:eastAsia="zh-TW"/>
              </w:rPr>
            </w:pPr>
            <w:r>
              <w:rPr>
                <w:rFonts w:ascii="HG丸ｺﾞｼｯｸM-PRO" w:eastAsia="HG丸ｺﾞｼｯｸM-PRO" w:hAnsi="HG丸ｺﾞｼｯｸM-PRO" w:cs="Times New Roman" w:hint="eastAsia"/>
                <w:b/>
                <w:lang w:eastAsia="zh-TW"/>
              </w:rPr>
              <w:t>評価規準</w:t>
            </w:r>
          </w:p>
        </w:tc>
        <w:tc>
          <w:tcPr>
            <w:tcW w:w="2618" w:type="dxa"/>
            <w:tcBorders>
              <w:top w:val="single" w:sz="4" w:space="0" w:color="auto"/>
              <w:left w:val="double" w:sz="4" w:space="0" w:color="auto"/>
              <w:bottom w:val="double" w:sz="4" w:space="0" w:color="auto"/>
            </w:tcBorders>
            <w:shd w:val="clear" w:color="auto" w:fill="DDDDDD"/>
            <w:vAlign w:val="center"/>
          </w:tcPr>
          <w:p w14:paraId="5BB81798" w14:textId="77777777" w:rsidR="009632B2" w:rsidRPr="001E4565" w:rsidRDefault="009632B2" w:rsidP="00943304">
            <w:pPr>
              <w:jc w:val="center"/>
              <w:rPr>
                <w:rFonts w:ascii="HG丸ｺﾞｼｯｸM-PRO" w:eastAsia="HG丸ｺﾞｼｯｸM-PRO" w:hAnsi="HG丸ｺﾞｼｯｸM-PRO" w:cs="Times New Roman"/>
                <w:b/>
              </w:rPr>
            </w:pPr>
            <w:r w:rsidRPr="001E4565">
              <w:rPr>
                <w:rFonts w:ascii="HG丸ｺﾞｼｯｸM-PRO" w:eastAsia="HG丸ｺﾞｼｯｸM-PRO" w:hAnsi="HG丸ｺﾞｼｯｸM-PRO" w:cs="Times New Roman"/>
                <w:b/>
              </w:rPr>
              <w:t>A</w:t>
            </w:r>
            <w:r w:rsidRPr="001E4565">
              <w:rPr>
                <w:rFonts w:ascii="HG丸ｺﾞｼｯｸM-PRO" w:eastAsia="HG丸ｺﾞｼｯｸM-PRO" w:hAnsi="HG丸ｺﾞｼｯｸM-PRO" w:cs="Times New Roman" w:hint="eastAsia"/>
                <w:b/>
              </w:rPr>
              <w:t>:十分満足</w:t>
            </w:r>
          </w:p>
        </w:tc>
        <w:tc>
          <w:tcPr>
            <w:tcW w:w="2618" w:type="dxa"/>
            <w:tcBorders>
              <w:top w:val="single" w:sz="4" w:space="0" w:color="auto"/>
              <w:bottom w:val="double" w:sz="4" w:space="0" w:color="auto"/>
            </w:tcBorders>
            <w:shd w:val="clear" w:color="auto" w:fill="DDDDDD"/>
            <w:vAlign w:val="center"/>
          </w:tcPr>
          <w:p w14:paraId="406DF910" w14:textId="77777777" w:rsidR="009632B2" w:rsidRPr="001E4565" w:rsidRDefault="009632B2" w:rsidP="00943304">
            <w:pPr>
              <w:jc w:val="center"/>
              <w:rPr>
                <w:rFonts w:ascii="HG丸ｺﾞｼｯｸM-PRO" w:eastAsia="HG丸ｺﾞｼｯｸM-PRO" w:hAnsi="HG丸ｺﾞｼｯｸM-PRO" w:cs="Times New Roman"/>
                <w:b/>
              </w:rPr>
            </w:pPr>
            <w:r w:rsidRPr="001E4565">
              <w:rPr>
                <w:rFonts w:ascii="HG丸ｺﾞｼｯｸM-PRO" w:eastAsia="HG丸ｺﾞｼｯｸM-PRO" w:hAnsi="HG丸ｺﾞｼｯｸM-PRO" w:cs="Times New Roman" w:hint="eastAsia"/>
                <w:b/>
              </w:rPr>
              <w:t>B:</w:t>
            </w:r>
            <w:r>
              <w:rPr>
                <w:rFonts w:ascii="HG丸ｺﾞｼｯｸM-PRO" w:eastAsia="HG丸ｺﾞｼｯｸM-PRO" w:hAnsi="HG丸ｺﾞｼｯｸM-PRO" w:cs="Times New Roman" w:hint="eastAsia"/>
                <w:b/>
              </w:rPr>
              <w:t>おおむね</w:t>
            </w:r>
            <w:r w:rsidRPr="001E4565">
              <w:rPr>
                <w:rFonts w:ascii="HG丸ｺﾞｼｯｸM-PRO" w:eastAsia="HG丸ｺﾞｼｯｸM-PRO" w:hAnsi="HG丸ｺﾞｼｯｸM-PRO" w:cs="Times New Roman" w:hint="eastAsia"/>
                <w:b/>
              </w:rPr>
              <w:t>満足</w:t>
            </w:r>
          </w:p>
        </w:tc>
        <w:tc>
          <w:tcPr>
            <w:tcW w:w="3469" w:type="dxa"/>
            <w:tcBorders>
              <w:top w:val="single" w:sz="4" w:space="0" w:color="auto"/>
              <w:bottom w:val="double" w:sz="4" w:space="0" w:color="auto"/>
            </w:tcBorders>
            <w:shd w:val="clear" w:color="auto" w:fill="DDDDDD"/>
            <w:vAlign w:val="center"/>
          </w:tcPr>
          <w:p w14:paraId="55F8A24B" w14:textId="77777777" w:rsidR="009632B2" w:rsidRPr="001E4565" w:rsidRDefault="009632B2" w:rsidP="00943304">
            <w:pPr>
              <w:jc w:val="center"/>
              <w:rPr>
                <w:rFonts w:ascii="HG丸ｺﾞｼｯｸM-PRO" w:eastAsia="HG丸ｺﾞｼｯｸM-PRO" w:hAnsi="HG丸ｺﾞｼｯｸM-PRO" w:cs="Times New Roman"/>
                <w:b/>
              </w:rPr>
            </w:pPr>
            <w:r w:rsidRPr="001E4565">
              <w:rPr>
                <w:rFonts w:ascii="HG丸ｺﾞｼｯｸM-PRO" w:eastAsia="HG丸ｺﾞｼｯｸM-PRO" w:hAnsi="HG丸ｺﾞｼｯｸM-PRO" w:cs="Times New Roman" w:hint="eastAsia"/>
                <w:b/>
              </w:rPr>
              <w:t>C</w:t>
            </w:r>
            <w:r w:rsidRPr="001E4565">
              <w:rPr>
                <w:rFonts w:ascii="HG丸ｺﾞｼｯｸM-PRO" w:eastAsia="HG丸ｺﾞｼｯｸM-PRO" w:hAnsi="HG丸ｺﾞｼｯｸM-PRO" w:cs="Times New Roman"/>
                <w:b/>
              </w:rPr>
              <w:t>.</w:t>
            </w:r>
            <w:r w:rsidRPr="001E4565">
              <w:rPr>
                <w:rFonts w:ascii="HG丸ｺﾞｼｯｸM-PRO" w:eastAsia="HG丸ｺﾞｼｯｸM-PRO" w:hAnsi="HG丸ｺﾞｼｯｸM-PRO" w:cs="Times New Roman" w:hint="eastAsia"/>
                <w:b/>
              </w:rPr>
              <w:t>努力</w:t>
            </w:r>
            <w:r>
              <w:rPr>
                <w:rFonts w:ascii="HG丸ｺﾞｼｯｸM-PRO" w:eastAsia="HG丸ｺﾞｼｯｸM-PRO" w:hAnsi="HG丸ｺﾞｼｯｸM-PRO" w:cs="Times New Roman" w:hint="eastAsia"/>
                <w:b/>
              </w:rPr>
              <w:t>を要する</w:t>
            </w:r>
          </w:p>
        </w:tc>
      </w:tr>
      <w:tr w:rsidR="009632B2" w:rsidRPr="001E4565" w14:paraId="14AC143A" w14:textId="77777777" w:rsidTr="009632B2">
        <w:trPr>
          <w:trHeight w:val="1220"/>
        </w:trPr>
        <w:tc>
          <w:tcPr>
            <w:tcW w:w="1780" w:type="dxa"/>
            <w:tcBorders>
              <w:top w:val="double" w:sz="4" w:space="0" w:color="auto"/>
              <w:right w:val="double" w:sz="4" w:space="0" w:color="auto"/>
            </w:tcBorders>
            <w:shd w:val="clear" w:color="auto" w:fill="DDDDDD"/>
          </w:tcPr>
          <w:p w14:paraId="75AF57C8" w14:textId="77777777" w:rsidR="009632B2" w:rsidRPr="001E4565" w:rsidRDefault="009632B2" w:rsidP="00943304">
            <w:pPr>
              <w:rPr>
                <w:rFonts w:ascii="HG丸ｺﾞｼｯｸM-PRO" w:eastAsia="HG丸ｺﾞｼｯｸM-PRO" w:hAnsi="HG丸ｺﾞｼｯｸM-PRO" w:cs="Times New Roman"/>
                <w:b/>
                <w:szCs w:val="21"/>
              </w:rPr>
            </w:pPr>
            <w:r>
              <w:rPr>
                <w:rFonts w:hint="eastAsia"/>
              </w:rPr>
              <w:t>本書での学び方が必要な理由を本節で学んだことを基に説明できる。</w:t>
            </w:r>
          </w:p>
        </w:tc>
        <w:tc>
          <w:tcPr>
            <w:tcW w:w="2618" w:type="dxa"/>
            <w:tcBorders>
              <w:top w:val="double" w:sz="4" w:space="0" w:color="auto"/>
              <w:left w:val="double" w:sz="4" w:space="0" w:color="auto"/>
            </w:tcBorders>
          </w:tcPr>
          <w:p w14:paraId="62C7792F" w14:textId="77777777" w:rsidR="009632B2" w:rsidRPr="00B84634" w:rsidRDefault="009632B2" w:rsidP="00943304">
            <w:r>
              <w:rPr>
                <w:rFonts w:hint="eastAsia"/>
              </w:rPr>
              <w:t>「人がどのように知識を得るのか」「内化</w:t>
            </w:r>
            <w:r>
              <w:rPr>
                <w:rFonts w:hint="eastAsia"/>
              </w:rPr>
              <w:t>-</w:t>
            </w:r>
            <w:r>
              <w:rPr>
                <w:rFonts w:hint="eastAsia"/>
              </w:rPr>
              <w:t>外化</w:t>
            </w:r>
            <w:r>
              <w:rPr>
                <w:rFonts w:hint="eastAsia"/>
              </w:rPr>
              <w:t>-</w:t>
            </w:r>
            <w:r>
              <w:rPr>
                <w:rFonts w:hint="eastAsia"/>
              </w:rPr>
              <w:t>内化</w:t>
            </w:r>
            <w:r>
              <w:t>’</w:t>
            </w:r>
            <w:r>
              <w:rPr>
                <w:rFonts w:hint="eastAsia"/>
              </w:rPr>
              <w:t>の往還」「教えるから学ぶへの転換」いう</w:t>
            </w:r>
            <w:r>
              <w:rPr>
                <w:rFonts w:hint="eastAsia"/>
              </w:rPr>
              <w:t>3</w:t>
            </w:r>
            <w:r>
              <w:rPr>
                <w:rFonts w:hint="eastAsia"/>
              </w:rPr>
              <w:t>つの観点を関連付けて的確に説明できる。</w:t>
            </w:r>
          </w:p>
          <w:p w14:paraId="1980DEB6" w14:textId="77777777" w:rsidR="009632B2" w:rsidRPr="00B84634" w:rsidRDefault="009632B2" w:rsidP="00943304">
            <w:pPr>
              <w:rPr>
                <w:rFonts w:ascii="HG丸ｺﾞｼｯｸM-PRO" w:eastAsia="HG丸ｺﾞｼｯｸM-PRO" w:hAnsi="HG丸ｺﾞｼｯｸM-PRO" w:cs="Times New Roman"/>
                <w:szCs w:val="21"/>
              </w:rPr>
            </w:pPr>
          </w:p>
        </w:tc>
        <w:tc>
          <w:tcPr>
            <w:tcW w:w="2618" w:type="dxa"/>
            <w:tcBorders>
              <w:top w:val="double" w:sz="4" w:space="0" w:color="auto"/>
            </w:tcBorders>
          </w:tcPr>
          <w:p w14:paraId="7FECAF66" w14:textId="77777777" w:rsidR="009632B2" w:rsidRPr="001E4565" w:rsidRDefault="009632B2" w:rsidP="00943304">
            <w:pPr>
              <w:rPr>
                <w:rFonts w:ascii="HG丸ｺﾞｼｯｸM-PRO" w:eastAsia="HG丸ｺﾞｼｯｸM-PRO" w:hAnsi="HG丸ｺﾞｼｯｸM-PRO" w:cs="Times New Roman"/>
                <w:szCs w:val="21"/>
              </w:rPr>
            </w:pPr>
            <w:r>
              <w:rPr>
                <w:rFonts w:hint="eastAsia"/>
              </w:rPr>
              <w:t>「人がどのように知識を得るのか」「内化</w:t>
            </w:r>
            <w:r>
              <w:rPr>
                <w:rFonts w:hint="eastAsia"/>
              </w:rPr>
              <w:t>-</w:t>
            </w:r>
            <w:r>
              <w:rPr>
                <w:rFonts w:hint="eastAsia"/>
              </w:rPr>
              <w:t>外化</w:t>
            </w:r>
            <w:r>
              <w:rPr>
                <w:rFonts w:hint="eastAsia"/>
              </w:rPr>
              <w:t>-</w:t>
            </w:r>
            <w:r>
              <w:rPr>
                <w:rFonts w:hint="eastAsia"/>
              </w:rPr>
              <w:t>内化</w:t>
            </w:r>
            <w:r>
              <w:t>’</w:t>
            </w:r>
            <w:r>
              <w:rPr>
                <w:rFonts w:hint="eastAsia"/>
              </w:rPr>
              <w:t>の往還」「教えるから学ぶへの転換」いう</w:t>
            </w:r>
            <w:r>
              <w:rPr>
                <w:rFonts w:hint="eastAsia"/>
              </w:rPr>
              <w:t>3</w:t>
            </w:r>
            <w:r>
              <w:rPr>
                <w:rFonts w:hint="eastAsia"/>
              </w:rPr>
              <w:t>つの観点から的確に説明できる。</w:t>
            </w:r>
          </w:p>
        </w:tc>
        <w:tc>
          <w:tcPr>
            <w:tcW w:w="3469" w:type="dxa"/>
            <w:tcBorders>
              <w:top w:val="double" w:sz="4" w:space="0" w:color="auto"/>
            </w:tcBorders>
          </w:tcPr>
          <w:p w14:paraId="3611E09B" w14:textId="77777777" w:rsidR="009632B2" w:rsidRDefault="009632B2" w:rsidP="00943304">
            <w:r>
              <w:rPr>
                <w:rFonts w:hint="eastAsia"/>
              </w:rPr>
              <w:t>「人がどのように知識を得るのか」「内化</w:t>
            </w:r>
            <w:r>
              <w:rPr>
                <w:rFonts w:hint="eastAsia"/>
              </w:rPr>
              <w:t>-</w:t>
            </w:r>
            <w:r>
              <w:rPr>
                <w:rFonts w:hint="eastAsia"/>
              </w:rPr>
              <w:t>外化</w:t>
            </w:r>
            <w:r>
              <w:rPr>
                <w:rFonts w:hint="eastAsia"/>
              </w:rPr>
              <w:t>-</w:t>
            </w:r>
            <w:r>
              <w:rPr>
                <w:rFonts w:hint="eastAsia"/>
              </w:rPr>
              <w:t>内化</w:t>
            </w:r>
            <w:r>
              <w:t>’</w:t>
            </w:r>
            <w:r>
              <w:rPr>
                <w:rFonts w:hint="eastAsia"/>
              </w:rPr>
              <w:t>の往還」「教えるから学ぶへの転換」のうち</w:t>
            </w:r>
            <w:r>
              <w:rPr>
                <w:rFonts w:hint="eastAsia"/>
              </w:rPr>
              <w:t>2</w:t>
            </w:r>
            <w:r>
              <w:rPr>
                <w:rFonts w:hint="eastAsia"/>
              </w:rPr>
              <w:t>つ以下の観点でしか説明していない。</w:t>
            </w:r>
          </w:p>
          <w:p w14:paraId="66E25A38" w14:textId="77777777" w:rsidR="009632B2" w:rsidRPr="00B84634" w:rsidRDefault="009632B2" w:rsidP="00943304">
            <w:r>
              <w:rPr>
                <w:rFonts w:hint="eastAsia"/>
              </w:rPr>
              <w:t>もしくは</w:t>
            </w:r>
            <w:r>
              <w:rPr>
                <w:rFonts w:hint="eastAsia"/>
              </w:rPr>
              <w:t>3</w:t>
            </w:r>
            <w:r>
              <w:rPr>
                <w:rFonts w:hint="eastAsia"/>
              </w:rPr>
              <w:t>つの観点から説明しているが的確ではない。</w:t>
            </w:r>
          </w:p>
        </w:tc>
      </w:tr>
    </w:tbl>
    <w:p w14:paraId="61C4D0AE" w14:textId="77777777" w:rsidR="009632B2" w:rsidRPr="009632B2" w:rsidRDefault="009632B2" w:rsidP="009632B2">
      <w:pPr>
        <w:rPr>
          <w:rFonts w:hint="eastAsia"/>
        </w:rPr>
      </w:pPr>
    </w:p>
    <w:sectPr w:rsidR="009632B2" w:rsidRPr="009632B2" w:rsidSect="008C6D18">
      <w:headerReference w:type="default" r:id="rId13"/>
      <w:headerReference w:type="first" r:id="rId14"/>
      <w:pgSz w:w="11906" w:h="16838" w:code="9"/>
      <w:pgMar w:top="1418" w:right="709" w:bottom="709" w:left="709" w:header="567"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7BCE3" w14:textId="77777777" w:rsidR="00E67F41" w:rsidRDefault="00E67F41" w:rsidP="00B5106A">
      <w:r>
        <w:separator/>
      </w:r>
    </w:p>
  </w:endnote>
  <w:endnote w:type="continuationSeparator" w:id="0">
    <w:p w14:paraId="77081501" w14:textId="77777777" w:rsidR="00E67F41" w:rsidRDefault="00E67F41" w:rsidP="00B51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G丸ｺﾞｼｯｸM-PRO">
    <w:panose1 w:val="020F0600000000000000"/>
    <w:charset w:val="80"/>
    <w:family w:val="modern"/>
    <w:pitch w:val="variable"/>
    <w:sig w:usb0="E00002FF" w:usb1="6AC7FDFB" w:usb2="00000012" w:usb3="00000000" w:csb0="0002009F" w:csb1="00000000"/>
  </w:font>
  <w:font w:name="HGｺﾞｼｯｸM">
    <w:panose1 w:val="020B0609000000000000"/>
    <w:charset w:val="80"/>
    <w:family w:val="modern"/>
    <w:pitch w:val="fixed"/>
    <w:sig w:usb0="80000281" w:usb1="28C76CF8"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5B55BF" w14:textId="77777777" w:rsidR="00E67F41" w:rsidRDefault="00E67F41" w:rsidP="00B5106A">
      <w:r>
        <w:separator/>
      </w:r>
    </w:p>
  </w:footnote>
  <w:footnote w:type="continuationSeparator" w:id="0">
    <w:p w14:paraId="5C96401F" w14:textId="77777777" w:rsidR="00E67F41" w:rsidRDefault="00E67F41" w:rsidP="00B51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D4C0C" w14:textId="77777777" w:rsidR="00B5106A" w:rsidRDefault="00B5106A" w:rsidP="00FA5318">
    <w:pPr>
      <w:pStyle w:val="a3"/>
      <w:jc w:val="right"/>
    </w:pPr>
    <w:r>
      <w:rPr>
        <w:rFonts w:hint="eastAsia"/>
      </w:rPr>
      <w:t>ICT</w:t>
    </w:r>
    <w:r>
      <w:rPr>
        <w:rFonts w:hint="eastAsia"/>
      </w:rPr>
      <w:t>活用指導力アップ！教育の情報化</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8330C" w14:textId="77777777" w:rsidR="00B5106A" w:rsidRDefault="00B5106A" w:rsidP="00B5106A">
    <w:pPr>
      <w:pStyle w:val="a3"/>
      <w:jc w:val="right"/>
    </w:pPr>
    <w:r>
      <w:rPr>
        <w:rFonts w:hint="eastAsia"/>
      </w:rPr>
      <w:t>ICT</w:t>
    </w:r>
    <w:r>
      <w:rPr>
        <w:rFonts w:hint="eastAsia"/>
      </w:rPr>
      <w:t>活用指導力アップ！教育の情報化</w:t>
    </w:r>
  </w:p>
  <w:p w14:paraId="2E1B1453" w14:textId="7091D8B1" w:rsidR="00B5106A" w:rsidRDefault="009632B2" w:rsidP="00B5106A">
    <w:pPr>
      <w:pStyle w:val="a3"/>
      <w:jc w:val="left"/>
    </w:pPr>
    <w:r>
      <w:t>1</w:t>
    </w:r>
    <w:r w:rsidR="00B5106A">
      <w:rPr>
        <w:rFonts w:hint="eastAsia"/>
      </w:rPr>
      <w:t>章</w:t>
    </w:r>
    <w:r w:rsidR="00B5106A">
      <w:rPr>
        <w:rFonts w:hint="eastAsia"/>
      </w:rPr>
      <w:t>2</w:t>
    </w:r>
    <w:r w:rsidR="00B5106A">
      <w:rPr>
        <w:rFonts w:hint="eastAsia"/>
      </w:rPr>
      <w:t xml:space="preserve">節　</w:t>
    </w:r>
    <w:r>
      <w:rPr>
        <w:rFonts w:hint="eastAsia"/>
      </w:rPr>
      <w:t>振り返る</w:t>
    </w:r>
    <w:r w:rsidR="00B5106A">
      <w:rPr>
        <w:rFonts w:hint="eastAsia"/>
      </w:rPr>
      <w:t xml:space="preserve">　</w:t>
    </w:r>
    <w:r w:rsidR="00B5106A">
      <w:rPr>
        <w:rFonts w:hint="eastAsia"/>
      </w:rPr>
      <w:t>[</w:t>
    </w:r>
    <w:r w:rsidR="00B5106A">
      <w:rPr>
        <w:rFonts w:hint="eastAsia"/>
      </w:rPr>
      <w:t>ワークシート</w:t>
    </w:r>
    <w:r>
      <w:t>1</w:t>
    </w:r>
    <w:r w:rsidR="00B5106A">
      <w:t>-2-</w:t>
    </w:r>
    <w:r>
      <w:t>6</w:t>
    </w:r>
    <w:r w:rsidR="00B5106A">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8435B2"/>
    <w:multiLevelType w:val="hybridMultilevel"/>
    <w:tmpl w:val="E1F29224"/>
    <w:lvl w:ilvl="0" w:tplc="A1D4E7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6C4D"/>
    <w:rsid w:val="00096F61"/>
    <w:rsid w:val="001F7FB9"/>
    <w:rsid w:val="005817D9"/>
    <w:rsid w:val="005C6C4D"/>
    <w:rsid w:val="00700A2C"/>
    <w:rsid w:val="007423EA"/>
    <w:rsid w:val="0083414A"/>
    <w:rsid w:val="008C6D18"/>
    <w:rsid w:val="009632B2"/>
    <w:rsid w:val="00B5106A"/>
    <w:rsid w:val="00BA6900"/>
    <w:rsid w:val="00BB3A12"/>
    <w:rsid w:val="00C041C9"/>
    <w:rsid w:val="00CE7CA2"/>
    <w:rsid w:val="00E67F41"/>
    <w:rsid w:val="00FA5318"/>
    <w:rsid w:val="00FF28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21E8243"/>
  <w15:chartTrackingRefBased/>
  <w15:docId w15:val="{ABA84392-5ECB-4035-9F6A-BD5DFE9A5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5106A"/>
    <w:pPr>
      <w:tabs>
        <w:tab w:val="center" w:pos="4252"/>
        <w:tab w:val="right" w:pos="8504"/>
      </w:tabs>
      <w:snapToGrid w:val="0"/>
    </w:pPr>
  </w:style>
  <w:style w:type="character" w:customStyle="1" w:styleId="a4">
    <w:name w:val="ヘッダー (文字)"/>
    <w:basedOn w:val="a0"/>
    <w:link w:val="a3"/>
    <w:uiPriority w:val="99"/>
    <w:rsid w:val="00B5106A"/>
  </w:style>
  <w:style w:type="paragraph" w:styleId="a5">
    <w:name w:val="footer"/>
    <w:basedOn w:val="a"/>
    <w:link w:val="a6"/>
    <w:uiPriority w:val="99"/>
    <w:unhideWhenUsed/>
    <w:rsid w:val="00B5106A"/>
    <w:pPr>
      <w:tabs>
        <w:tab w:val="center" w:pos="4252"/>
        <w:tab w:val="right" w:pos="8504"/>
      </w:tabs>
      <w:snapToGrid w:val="0"/>
    </w:pPr>
  </w:style>
  <w:style w:type="character" w:customStyle="1" w:styleId="a6">
    <w:name w:val="フッター (文字)"/>
    <w:basedOn w:val="a0"/>
    <w:link w:val="a5"/>
    <w:uiPriority w:val="99"/>
    <w:rsid w:val="00B5106A"/>
  </w:style>
  <w:style w:type="paragraph" w:styleId="a7">
    <w:name w:val="List Paragraph"/>
    <w:basedOn w:val="a"/>
    <w:uiPriority w:val="34"/>
    <w:qFormat/>
    <w:rsid w:val="009632B2"/>
    <w:pPr>
      <w:ind w:leftChars="400" w:left="840"/>
    </w:pPr>
  </w:style>
  <w:style w:type="character" w:styleId="a8">
    <w:name w:val="annotation reference"/>
    <w:basedOn w:val="a0"/>
    <w:uiPriority w:val="99"/>
    <w:semiHidden/>
    <w:unhideWhenUsed/>
    <w:rsid w:val="009632B2"/>
    <w:rPr>
      <w:sz w:val="18"/>
      <w:szCs w:val="18"/>
    </w:rPr>
  </w:style>
  <w:style w:type="paragraph" w:styleId="a9">
    <w:name w:val="annotation text"/>
    <w:basedOn w:val="a"/>
    <w:link w:val="aa"/>
    <w:uiPriority w:val="99"/>
    <w:unhideWhenUsed/>
    <w:rsid w:val="009632B2"/>
    <w:pPr>
      <w:jc w:val="left"/>
    </w:pPr>
  </w:style>
  <w:style w:type="character" w:customStyle="1" w:styleId="aa">
    <w:name w:val="コメント文字列 (文字)"/>
    <w:basedOn w:val="a0"/>
    <w:link w:val="a9"/>
    <w:uiPriority w:val="99"/>
    <w:rsid w:val="009632B2"/>
  </w:style>
  <w:style w:type="paragraph" w:styleId="ab">
    <w:name w:val="Balloon Text"/>
    <w:basedOn w:val="a"/>
    <w:link w:val="ac"/>
    <w:uiPriority w:val="99"/>
    <w:semiHidden/>
    <w:unhideWhenUsed/>
    <w:rsid w:val="009632B2"/>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9632B2"/>
    <w:rPr>
      <w:rFonts w:asciiTheme="majorHAnsi" w:eastAsiaTheme="majorEastAsia" w:hAnsiTheme="majorHAnsi" w:cstheme="majorBidi"/>
      <w:sz w:val="18"/>
      <w:szCs w:val="18"/>
    </w:rPr>
  </w:style>
  <w:style w:type="table" w:customStyle="1" w:styleId="1">
    <w:name w:val="表 (格子)1"/>
    <w:basedOn w:val="a1"/>
    <w:next w:val="ad"/>
    <w:uiPriority w:val="39"/>
    <w:rsid w:val="009632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d">
    <w:name w:val="Table Grid"/>
    <w:basedOn w:val="a1"/>
    <w:uiPriority w:val="39"/>
    <w:rsid w:val="009632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eader" Target="head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QuickStyle" Target="diagrams/quickStyle1.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eader" Target="header2.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A5DCA41-3E9E-469F-8939-179F7352853B}" type="doc">
      <dgm:prSet loTypeId="urn:microsoft.com/office/officeart/2005/8/layout/chevron1" loCatId="process" qsTypeId="urn:microsoft.com/office/officeart/2005/8/quickstyle/simple1" qsCatId="simple" csTypeId="urn:microsoft.com/office/officeart/2005/8/colors/accent1_2" csCatId="accent1" phldr="1"/>
      <dgm:spPr/>
    </dgm:pt>
    <dgm:pt modelId="{E523A6DD-8E98-43E8-908C-C0622B230E2B}">
      <dgm:prSet phldrT="[テキスト]" custT="1"/>
      <dgm:spPr/>
      <dgm:t>
        <a:bodyPr/>
        <a:lstStyle/>
        <a:p>
          <a:r>
            <a:rPr kumimoji="1" lang="ja-JP" altLang="en-US" sz="1000" b="1">
              <a:solidFill>
                <a:schemeClr val="tx1"/>
              </a:solidFill>
            </a:rPr>
            <a:t>目指す</a:t>
          </a:r>
          <a:br>
            <a:rPr kumimoji="1" lang="en-US" altLang="ja-JP" sz="1000">
              <a:solidFill>
                <a:schemeClr val="tx1"/>
              </a:solidFill>
            </a:rPr>
          </a:br>
          <a:r>
            <a:rPr kumimoji="1" lang="ja-JP" altLang="en-US" sz="1000">
              <a:solidFill>
                <a:schemeClr val="tx1"/>
              </a:solidFill>
            </a:rPr>
            <a:t>学習目標を知る</a:t>
          </a:r>
        </a:p>
      </dgm:t>
    </dgm:pt>
    <dgm:pt modelId="{8C4E40C7-6593-406C-A2CF-0D5D81A5C68B}" type="parTrans" cxnId="{10B8E371-1303-433D-B6EC-C9635C88293E}">
      <dgm:prSet/>
      <dgm:spPr/>
      <dgm:t>
        <a:bodyPr/>
        <a:lstStyle/>
        <a:p>
          <a:endParaRPr kumimoji="1" lang="ja-JP" altLang="en-US" sz="1000">
            <a:solidFill>
              <a:schemeClr val="tx1"/>
            </a:solidFill>
          </a:endParaRPr>
        </a:p>
      </dgm:t>
    </dgm:pt>
    <dgm:pt modelId="{99B59213-B253-4874-8B66-68C4D8514FDF}" type="sibTrans" cxnId="{10B8E371-1303-433D-B6EC-C9635C88293E}">
      <dgm:prSet/>
      <dgm:spPr/>
      <dgm:t>
        <a:bodyPr/>
        <a:lstStyle/>
        <a:p>
          <a:endParaRPr kumimoji="1" lang="ja-JP" altLang="en-US" sz="1000">
            <a:solidFill>
              <a:schemeClr val="tx1"/>
            </a:solidFill>
          </a:endParaRPr>
        </a:p>
      </dgm:t>
    </dgm:pt>
    <dgm:pt modelId="{1BD783A7-2029-4F77-B591-D29034FCA881}">
      <dgm:prSet phldrT="[テキスト]" custT="1"/>
      <dgm:spPr/>
      <dgm:t>
        <a:bodyPr/>
        <a:lstStyle/>
        <a:p>
          <a:r>
            <a:rPr kumimoji="1" lang="ja-JP" altLang="en-US" sz="1000" b="1">
              <a:solidFill>
                <a:schemeClr val="tx1"/>
              </a:solidFill>
            </a:rPr>
            <a:t>つかむ</a:t>
          </a:r>
          <a:br>
            <a:rPr kumimoji="1" lang="en-US" altLang="ja-JP" sz="1000">
              <a:solidFill>
                <a:schemeClr val="tx1"/>
              </a:solidFill>
            </a:rPr>
          </a:br>
          <a:r>
            <a:rPr kumimoji="1" lang="ja-JP" altLang="en-US" sz="1000">
              <a:solidFill>
                <a:schemeClr val="tx1"/>
              </a:solidFill>
            </a:rPr>
            <a:t>学習内容に対する</a:t>
          </a:r>
          <a:br>
            <a:rPr kumimoji="1" lang="en-US" altLang="ja-JP" sz="1000">
              <a:solidFill>
                <a:schemeClr val="tx1"/>
              </a:solidFill>
            </a:rPr>
          </a:br>
          <a:r>
            <a:rPr kumimoji="1" lang="ja-JP" altLang="en-US" sz="1000">
              <a:solidFill>
                <a:schemeClr val="tx1"/>
              </a:solidFill>
            </a:rPr>
            <a:t>　気づきを持つ・内省する</a:t>
          </a:r>
        </a:p>
      </dgm:t>
    </dgm:pt>
    <dgm:pt modelId="{6ECEE0E9-D630-4D07-8C65-01DE3CE41355}" type="parTrans" cxnId="{BDAC5CB1-8116-4807-8754-F1BAFF1931CA}">
      <dgm:prSet/>
      <dgm:spPr/>
      <dgm:t>
        <a:bodyPr/>
        <a:lstStyle/>
        <a:p>
          <a:endParaRPr kumimoji="1" lang="ja-JP" altLang="en-US" sz="1000">
            <a:solidFill>
              <a:schemeClr val="tx1"/>
            </a:solidFill>
          </a:endParaRPr>
        </a:p>
      </dgm:t>
    </dgm:pt>
    <dgm:pt modelId="{2233ABAB-30E5-40F4-B627-263911BCD7CF}" type="sibTrans" cxnId="{BDAC5CB1-8116-4807-8754-F1BAFF1931CA}">
      <dgm:prSet/>
      <dgm:spPr/>
      <dgm:t>
        <a:bodyPr/>
        <a:lstStyle/>
        <a:p>
          <a:endParaRPr kumimoji="1" lang="ja-JP" altLang="en-US" sz="1000">
            <a:solidFill>
              <a:schemeClr val="tx1"/>
            </a:solidFill>
          </a:endParaRPr>
        </a:p>
      </dgm:t>
    </dgm:pt>
    <dgm:pt modelId="{8758AB62-1396-48B3-B4DB-67ACB6D9404F}">
      <dgm:prSet phldrT="[テキスト]" custT="1"/>
      <dgm:spPr/>
      <dgm:t>
        <a:bodyPr/>
        <a:lstStyle/>
        <a:p>
          <a:r>
            <a:rPr kumimoji="1" lang="ja-JP" altLang="en-US" sz="1000" b="1">
              <a:solidFill>
                <a:schemeClr val="tx1"/>
              </a:solidFill>
            </a:rPr>
            <a:t>使える</a:t>
          </a:r>
          <a:br>
            <a:rPr kumimoji="1" lang="en-US" altLang="ja-JP" sz="1000">
              <a:solidFill>
                <a:schemeClr val="tx1"/>
              </a:solidFill>
            </a:rPr>
          </a:br>
          <a:r>
            <a:rPr kumimoji="1" lang="ja-JP" altLang="en-US" sz="1000">
              <a:solidFill>
                <a:schemeClr val="tx1"/>
              </a:solidFill>
            </a:rPr>
            <a:t>理解を確認する・深化させる</a:t>
          </a:r>
        </a:p>
      </dgm:t>
    </dgm:pt>
    <dgm:pt modelId="{1E7A496E-9046-4E30-B6F5-E659DC5A2EFC}" type="parTrans" cxnId="{A56F1A77-298D-4A80-8EB4-9CC40DA88855}">
      <dgm:prSet/>
      <dgm:spPr/>
      <dgm:t>
        <a:bodyPr/>
        <a:lstStyle/>
        <a:p>
          <a:endParaRPr kumimoji="1" lang="ja-JP" altLang="en-US" sz="1000">
            <a:solidFill>
              <a:schemeClr val="tx1"/>
            </a:solidFill>
          </a:endParaRPr>
        </a:p>
      </dgm:t>
    </dgm:pt>
    <dgm:pt modelId="{3E716F4E-D2AF-43BF-8D06-472C5727FBDF}" type="sibTrans" cxnId="{A56F1A77-298D-4A80-8EB4-9CC40DA88855}">
      <dgm:prSet/>
      <dgm:spPr/>
      <dgm:t>
        <a:bodyPr/>
        <a:lstStyle/>
        <a:p>
          <a:endParaRPr kumimoji="1" lang="ja-JP" altLang="en-US" sz="1000">
            <a:solidFill>
              <a:schemeClr val="tx1"/>
            </a:solidFill>
          </a:endParaRPr>
        </a:p>
      </dgm:t>
    </dgm:pt>
    <dgm:pt modelId="{CCD748B2-DCF0-4978-B0AB-DCC963C989C7}">
      <dgm:prSet phldrT="[テキスト]" custT="1"/>
      <dgm:spPr/>
      <dgm:t>
        <a:bodyPr/>
        <a:lstStyle/>
        <a:p>
          <a:r>
            <a:rPr kumimoji="1" lang="ja-JP" altLang="en-US" sz="1000" b="1">
              <a:solidFill>
                <a:schemeClr val="tx1"/>
              </a:solidFill>
            </a:rPr>
            <a:t>わかる</a:t>
          </a:r>
          <a:br>
            <a:rPr kumimoji="1" lang="en-US" altLang="ja-JP" sz="1000">
              <a:solidFill>
                <a:schemeClr val="tx1"/>
              </a:solidFill>
            </a:rPr>
          </a:br>
          <a:r>
            <a:rPr kumimoji="1" lang="ja-JP" altLang="en-US" sz="1000">
              <a:solidFill>
                <a:schemeClr val="tx1"/>
              </a:solidFill>
            </a:rPr>
            <a:t>基礎知識</a:t>
          </a:r>
          <a:br>
            <a:rPr kumimoji="1" lang="en-US" altLang="ja-JP" sz="1000">
              <a:solidFill>
                <a:schemeClr val="tx1"/>
              </a:solidFill>
            </a:rPr>
          </a:br>
          <a:r>
            <a:rPr kumimoji="1" lang="ja-JP" altLang="en-US" sz="1000">
              <a:solidFill>
                <a:schemeClr val="tx1"/>
              </a:solidFill>
            </a:rPr>
            <a:t>を得る</a:t>
          </a:r>
        </a:p>
      </dgm:t>
    </dgm:pt>
    <dgm:pt modelId="{3BC84437-BE36-4EA0-A2F6-4C7056422A5F}" type="parTrans" cxnId="{ECBDF01C-1A2C-4290-802C-7B2A468EAE3F}">
      <dgm:prSet/>
      <dgm:spPr/>
      <dgm:t>
        <a:bodyPr/>
        <a:lstStyle/>
        <a:p>
          <a:endParaRPr kumimoji="1" lang="ja-JP" altLang="en-US" sz="1000">
            <a:solidFill>
              <a:schemeClr val="tx1"/>
            </a:solidFill>
          </a:endParaRPr>
        </a:p>
      </dgm:t>
    </dgm:pt>
    <dgm:pt modelId="{4CB56A5E-62E9-4126-8DB1-A93211F3977A}" type="sibTrans" cxnId="{ECBDF01C-1A2C-4290-802C-7B2A468EAE3F}">
      <dgm:prSet/>
      <dgm:spPr/>
      <dgm:t>
        <a:bodyPr/>
        <a:lstStyle/>
        <a:p>
          <a:endParaRPr kumimoji="1" lang="ja-JP" altLang="en-US" sz="1000">
            <a:solidFill>
              <a:schemeClr val="tx1"/>
            </a:solidFill>
          </a:endParaRPr>
        </a:p>
      </dgm:t>
    </dgm:pt>
    <dgm:pt modelId="{FC0EE0D1-DB81-42AD-8B89-D12DE339F07C}">
      <dgm:prSet phldrT="[テキスト]" custT="1"/>
      <dgm:spPr/>
      <dgm:t>
        <a:bodyPr/>
        <a:lstStyle/>
        <a:p>
          <a:r>
            <a:rPr kumimoji="1" lang="ja-JP" altLang="en-US" sz="1000" b="1">
              <a:solidFill>
                <a:schemeClr val="tx1"/>
              </a:solidFill>
            </a:rPr>
            <a:t>振り返る</a:t>
          </a:r>
          <a:br>
            <a:rPr kumimoji="1" lang="en-US" altLang="ja-JP" sz="1000">
              <a:solidFill>
                <a:schemeClr val="tx1"/>
              </a:solidFill>
            </a:rPr>
          </a:br>
          <a:r>
            <a:rPr kumimoji="1" lang="ja-JP" altLang="en-US" sz="1000">
              <a:solidFill>
                <a:schemeClr val="tx1"/>
              </a:solidFill>
            </a:rPr>
            <a:t>　学んだ内容に</a:t>
          </a:r>
          <a:br>
            <a:rPr kumimoji="1" lang="en-US" altLang="ja-JP" sz="1000">
              <a:solidFill>
                <a:schemeClr val="tx1"/>
              </a:solidFill>
            </a:rPr>
          </a:br>
          <a:r>
            <a:rPr kumimoji="1" lang="ja-JP" altLang="en-US" sz="1000">
              <a:solidFill>
                <a:schemeClr val="tx1"/>
              </a:solidFill>
            </a:rPr>
            <a:t>ついて振り返る</a:t>
          </a:r>
        </a:p>
      </dgm:t>
    </dgm:pt>
    <dgm:pt modelId="{73E7162C-F586-470A-9226-FC485B9A9C2C}" type="parTrans" cxnId="{F554231C-1E19-4FAB-98AB-E04029EC4370}">
      <dgm:prSet/>
      <dgm:spPr/>
      <dgm:t>
        <a:bodyPr/>
        <a:lstStyle/>
        <a:p>
          <a:endParaRPr kumimoji="1" lang="ja-JP" altLang="en-US" sz="1000">
            <a:solidFill>
              <a:schemeClr val="tx1"/>
            </a:solidFill>
          </a:endParaRPr>
        </a:p>
      </dgm:t>
    </dgm:pt>
    <dgm:pt modelId="{A89CB254-D665-4F31-B6CD-BFADE231A370}" type="sibTrans" cxnId="{F554231C-1E19-4FAB-98AB-E04029EC4370}">
      <dgm:prSet/>
      <dgm:spPr/>
      <dgm:t>
        <a:bodyPr/>
        <a:lstStyle/>
        <a:p>
          <a:endParaRPr kumimoji="1" lang="ja-JP" altLang="en-US" sz="1000">
            <a:solidFill>
              <a:schemeClr val="tx1"/>
            </a:solidFill>
          </a:endParaRPr>
        </a:p>
      </dgm:t>
    </dgm:pt>
    <dgm:pt modelId="{D15F40F5-E1F1-4B7D-B023-68B71C7EB64D}">
      <dgm:prSet phldrT="[テキスト]" custT="1"/>
      <dgm:spPr/>
      <dgm:t>
        <a:bodyPr/>
        <a:lstStyle/>
        <a:p>
          <a:r>
            <a:rPr kumimoji="1" lang="ja-JP" altLang="en-US" sz="1000" b="1">
              <a:solidFill>
                <a:schemeClr val="tx1"/>
              </a:solidFill>
            </a:rPr>
            <a:t>振り返る</a:t>
          </a:r>
          <a:br>
            <a:rPr kumimoji="1" lang="en-US" altLang="ja-JP" sz="1000">
              <a:solidFill>
                <a:schemeClr val="tx1"/>
              </a:solidFill>
            </a:rPr>
          </a:br>
          <a:r>
            <a:rPr kumimoji="1" lang="ja-JP" altLang="en-US" sz="1000">
              <a:solidFill>
                <a:schemeClr val="tx1"/>
              </a:solidFill>
            </a:rPr>
            <a:t>学び方に</a:t>
          </a:r>
          <a:br>
            <a:rPr kumimoji="1" lang="en-US" altLang="ja-JP" sz="1000">
              <a:solidFill>
                <a:schemeClr val="tx1"/>
              </a:solidFill>
            </a:rPr>
          </a:br>
          <a:r>
            <a:rPr kumimoji="1" lang="ja-JP" altLang="en-US" sz="1000">
              <a:solidFill>
                <a:schemeClr val="tx1"/>
              </a:solidFill>
            </a:rPr>
            <a:t>ついて振り返る</a:t>
          </a:r>
        </a:p>
      </dgm:t>
    </dgm:pt>
    <dgm:pt modelId="{B828370C-703D-474F-A888-1311A3828A59}" type="parTrans" cxnId="{38CEE93C-8C73-4BEE-9870-EC86679FC89B}">
      <dgm:prSet/>
      <dgm:spPr/>
      <dgm:t>
        <a:bodyPr/>
        <a:lstStyle/>
        <a:p>
          <a:endParaRPr kumimoji="1" lang="ja-JP" altLang="en-US" sz="1000">
            <a:solidFill>
              <a:schemeClr val="tx1"/>
            </a:solidFill>
          </a:endParaRPr>
        </a:p>
      </dgm:t>
    </dgm:pt>
    <dgm:pt modelId="{B5CFA5DD-9B76-4631-9079-DD3FAA9FD9AB}" type="sibTrans" cxnId="{38CEE93C-8C73-4BEE-9870-EC86679FC89B}">
      <dgm:prSet/>
      <dgm:spPr/>
      <dgm:t>
        <a:bodyPr/>
        <a:lstStyle/>
        <a:p>
          <a:endParaRPr kumimoji="1" lang="ja-JP" altLang="en-US" sz="1000">
            <a:solidFill>
              <a:schemeClr val="tx1"/>
            </a:solidFill>
          </a:endParaRPr>
        </a:p>
      </dgm:t>
    </dgm:pt>
    <dgm:pt modelId="{B2551799-AA44-43AE-AA96-43C6EF02720E}" type="pres">
      <dgm:prSet presAssocID="{8A5DCA41-3E9E-469F-8939-179F7352853B}" presName="Name0" presStyleCnt="0">
        <dgm:presLayoutVars>
          <dgm:dir/>
          <dgm:animLvl val="lvl"/>
          <dgm:resizeHandles val="exact"/>
        </dgm:presLayoutVars>
      </dgm:prSet>
      <dgm:spPr/>
    </dgm:pt>
    <dgm:pt modelId="{2132BBE7-6092-4A13-9BB7-4495919B637D}" type="pres">
      <dgm:prSet presAssocID="{E523A6DD-8E98-43E8-908C-C0622B230E2B}" presName="parTxOnly" presStyleLbl="node1" presStyleIdx="0" presStyleCnt="6" custScaleY="261575" custLinFactNeighborX="21066">
        <dgm:presLayoutVars>
          <dgm:chMax val="0"/>
          <dgm:chPref val="0"/>
          <dgm:bulletEnabled val="1"/>
        </dgm:presLayoutVars>
      </dgm:prSet>
      <dgm:spPr/>
    </dgm:pt>
    <dgm:pt modelId="{6CD18519-93C2-4E77-8044-07C01FB89126}" type="pres">
      <dgm:prSet presAssocID="{99B59213-B253-4874-8B66-68C4D8514FDF}" presName="parTxOnlySpace" presStyleCnt="0"/>
      <dgm:spPr/>
    </dgm:pt>
    <dgm:pt modelId="{07B6AE79-89BA-48CC-8E1F-436779FA0BE0}" type="pres">
      <dgm:prSet presAssocID="{1BD783A7-2029-4F77-B591-D29034FCA881}" presName="parTxOnly" presStyleLbl="node1" presStyleIdx="1" presStyleCnt="6" custScaleY="261575" custLinFactNeighborX="21066">
        <dgm:presLayoutVars>
          <dgm:chMax val="0"/>
          <dgm:chPref val="0"/>
          <dgm:bulletEnabled val="1"/>
        </dgm:presLayoutVars>
      </dgm:prSet>
      <dgm:spPr/>
    </dgm:pt>
    <dgm:pt modelId="{683F0A50-2955-4D9E-9830-067B5E8DC442}" type="pres">
      <dgm:prSet presAssocID="{2233ABAB-30E5-40F4-B627-263911BCD7CF}" presName="parTxOnlySpace" presStyleCnt="0"/>
      <dgm:spPr/>
    </dgm:pt>
    <dgm:pt modelId="{E07DAD2E-A4D7-4383-86A9-544A917D0FB1}" type="pres">
      <dgm:prSet presAssocID="{CCD748B2-DCF0-4978-B0AB-DCC963C989C7}" presName="parTxOnly" presStyleLbl="node1" presStyleIdx="2" presStyleCnt="6" custScaleY="261575" custLinFactNeighborX="21066">
        <dgm:presLayoutVars>
          <dgm:chMax val="0"/>
          <dgm:chPref val="0"/>
          <dgm:bulletEnabled val="1"/>
        </dgm:presLayoutVars>
      </dgm:prSet>
      <dgm:spPr/>
    </dgm:pt>
    <dgm:pt modelId="{7A6B988D-748A-4CEF-8E1E-F5FB6FF446C9}" type="pres">
      <dgm:prSet presAssocID="{4CB56A5E-62E9-4126-8DB1-A93211F3977A}" presName="parTxOnlySpace" presStyleCnt="0"/>
      <dgm:spPr/>
    </dgm:pt>
    <dgm:pt modelId="{DD428D82-28F3-48ED-98C7-033CB2DA287A}" type="pres">
      <dgm:prSet presAssocID="{8758AB62-1396-48B3-B4DB-67ACB6D9404F}" presName="parTxOnly" presStyleLbl="node1" presStyleIdx="3" presStyleCnt="6" custScaleY="261575">
        <dgm:presLayoutVars>
          <dgm:chMax val="0"/>
          <dgm:chPref val="0"/>
          <dgm:bulletEnabled val="1"/>
        </dgm:presLayoutVars>
      </dgm:prSet>
      <dgm:spPr/>
    </dgm:pt>
    <dgm:pt modelId="{03880185-16D1-43A5-B278-4DB9C2969DBC}" type="pres">
      <dgm:prSet presAssocID="{3E716F4E-D2AF-43BF-8D06-472C5727FBDF}" presName="parTxOnlySpace" presStyleCnt="0"/>
      <dgm:spPr/>
    </dgm:pt>
    <dgm:pt modelId="{9E1C40A6-6C82-4E66-8D81-7B8869806C01}" type="pres">
      <dgm:prSet presAssocID="{FC0EE0D1-DB81-42AD-8B89-D12DE339F07C}" presName="parTxOnly" presStyleLbl="node1" presStyleIdx="4" presStyleCnt="6" custScaleY="261575">
        <dgm:presLayoutVars>
          <dgm:chMax val="0"/>
          <dgm:chPref val="0"/>
          <dgm:bulletEnabled val="1"/>
        </dgm:presLayoutVars>
      </dgm:prSet>
      <dgm:spPr/>
    </dgm:pt>
    <dgm:pt modelId="{E9675749-99A3-40A4-82CF-3615C771624B}" type="pres">
      <dgm:prSet presAssocID="{A89CB254-D665-4F31-B6CD-BFADE231A370}" presName="parTxOnlySpace" presStyleCnt="0"/>
      <dgm:spPr/>
    </dgm:pt>
    <dgm:pt modelId="{F3FF603B-997C-439D-A46B-825B9D24C94F}" type="pres">
      <dgm:prSet presAssocID="{D15F40F5-E1F1-4B7D-B023-68B71C7EB64D}" presName="parTxOnly" presStyleLbl="node1" presStyleIdx="5" presStyleCnt="6" custScaleY="261575">
        <dgm:presLayoutVars>
          <dgm:chMax val="0"/>
          <dgm:chPref val="0"/>
          <dgm:bulletEnabled val="1"/>
        </dgm:presLayoutVars>
      </dgm:prSet>
      <dgm:spPr/>
    </dgm:pt>
  </dgm:ptLst>
  <dgm:cxnLst>
    <dgm:cxn modelId="{6876AB08-5555-4BB3-A6AB-D1DC9C86271B}" type="presOf" srcId="{8758AB62-1396-48B3-B4DB-67ACB6D9404F}" destId="{DD428D82-28F3-48ED-98C7-033CB2DA287A}" srcOrd="0" destOrd="0" presId="urn:microsoft.com/office/officeart/2005/8/layout/chevron1"/>
    <dgm:cxn modelId="{F554231C-1E19-4FAB-98AB-E04029EC4370}" srcId="{8A5DCA41-3E9E-469F-8939-179F7352853B}" destId="{FC0EE0D1-DB81-42AD-8B89-D12DE339F07C}" srcOrd="4" destOrd="0" parTransId="{73E7162C-F586-470A-9226-FC485B9A9C2C}" sibTransId="{A89CB254-D665-4F31-B6CD-BFADE231A370}"/>
    <dgm:cxn modelId="{ECBDF01C-1A2C-4290-802C-7B2A468EAE3F}" srcId="{8A5DCA41-3E9E-469F-8939-179F7352853B}" destId="{CCD748B2-DCF0-4978-B0AB-DCC963C989C7}" srcOrd="2" destOrd="0" parTransId="{3BC84437-BE36-4EA0-A2F6-4C7056422A5F}" sibTransId="{4CB56A5E-62E9-4126-8DB1-A93211F3977A}"/>
    <dgm:cxn modelId="{F2C3CA27-BCCA-451C-B4AB-87E925191D53}" type="presOf" srcId="{CCD748B2-DCF0-4978-B0AB-DCC963C989C7}" destId="{E07DAD2E-A4D7-4383-86A9-544A917D0FB1}" srcOrd="0" destOrd="0" presId="urn:microsoft.com/office/officeart/2005/8/layout/chevron1"/>
    <dgm:cxn modelId="{38CEE93C-8C73-4BEE-9870-EC86679FC89B}" srcId="{8A5DCA41-3E9E-469F-8939-179F7352853B}" destId="{D15F40F5-E1F1-4B7D-B023-68B71C7EB64D}" srcOrd="5" destOrd="0" parTransId="{B828370C-703D-474F-A888-1311A3828A59}" sibTransId="{B5CFA5DD-9B76-4631-9079-DD3FAA9FD9AB}"/>
    <dgm:cxn modelId="{BBD2805E-27D9-4188-9C13-FA5D99117F70}" type="presOf" srcId="{FC0EE0D1-DB81-42AD-8B89-D12DE339F07C}" destId="{9E1C40A6-6C82-4E66-8D81-7B8869806C01}" srcOrd="0" destOrd="0" presId="urn:microsoft.com/office/officeart/2005/8/layout/chevron1"/>
    <dgm:cxn modelId="{10B8E371-1303-433D-B6EC-C9635C88293E}" srcId="{8A5DCA41-3E9E-469F-8939-179F7352853B}" destId="{E523A6DD-8E98-43E8-908C-C0622B230E2B}" srcOrd="0" destOrd="0" parTransId="{8C4E40C7-6593-406C-A2CF-0D5D81A5C68B}" sibTransId="{99B59213-B253-4874-8B66-68C4D8514FDF}"/>
    <dgm:cxn modelId="{A56F1A77-298D-4A80-8EB4-9CC40DA88855}" srcId="{8A5DCA41-3E9E-469F-8939-179F7352853B}" destId="{8758AB62-1396-48B3-B4DB-67ACB6D9404F}" srcOrd="3" destOrd="0" parTransId="{1E7A496E-9046-4E30-B6F5-E659DC5A2EFC}" sibTransId="{3E716F4E-D2AF-43BF-8D06-472C5727FBDF}"/>
    <dgm:cxn modelId="{F7CE3B8A-77A5-4235-A35A-F4EAE4AD49A9}" type="presOf" srcId="{D15F40F5-E1F1-4B7D-B023-68B71C7EB64D}" destId="{F3FF603B-997C-439D-A46B-825B9D24C94F}" srcOrd="0" destOrd="0" presId="urn:microsoft.com/office/officeart/2005/8/layout/chevron1"/>
    <dgm:cxn modelId="{8CFF2F8C-BFD4-478A-91D2-BCB57D2F73A7}" type="presOf" srcId="{E523A6DD-8E98-43E8-908C-C0622B230E2B}" destId="{2132BBE7-6092-4A13-9BB7-4495919B637D}" srcOrd="0" destOrd="0" presId="urn:microsoft.com/office/officeart/2005/8/layout/chevron1"/>
    <dgm:cxn modelId="{BDAC5CB1-8116-4807-8754-F1BAFF1931CA}" srcId="{8A5DCA41-3E9E-469F-8939-179F7352853B}" destId="{1BD783A7-2029-4F77-B591-D29034FCA881}" srcOrd="1" destOrd="0" parTransId="{6ECEE0E9-D630-4D07-8C65-01DE3CE41355}" sibTransId="{2233ABAB-30E5-40F4-B627-263911BCD7CF}"/>
    <dgm:cxn modelId="{0CE6E1B4-A889-4017-B692-47919DF8EF42}" type="presOf" srcId="{8A5DCA41-3E9E-469F-8939-179F7352853B}" destId="{B2551799-AA44-43AE-AA96-43C6EF02720E}" srcOrd="0" destOrd="0" presId="urn:microsoft.com/office/officeart/2005/8/layout/chevron1"/>
    <dgm:cxn modelId="{002258F4-69B2-4496-A346-4B46C191A85B}" type="presOf" srcId="{1BD783A7-2029-4F77-B591-D29034FCA881}" destId="{07B6AE79-89BA-48CC-8E1F-436779FA0BE0}" srcOrd="0" destOrd="0" presId="urn:microsoft.com/office/officeart/2005/8/layout/chevron1"/>
    <dgm:cxn modelId="{9B235B36-896C-4D3E-829B-0777F88E0417}" type="presParOf" srcId="{B2551799-AA44-43AE-AA96-43C6EF02720E}" destId="{2132BBE7-6092-4A13-9BB7-4495919B637D}" srcOrd="0" destOrd="0" presId="urn:microsoft.com/office/officeart/2005/8/layout/chevron1"/>
    <dgm:cxn modelId="{21F169C0-ADD0-4456-930D-0166507209B7}" type="presParOf" srcId="{B2551799-AA44-43AE-AA96-43C6EF02720E}" destId="{6CD18519-93C2-4E77-8044-07C01FB89126}" srcOrd="1" destOrd="0" presId="urn:microsoft.com/office/officeart/2005/8/layout/chevron1"/>
    <dgm:cxn modelId="{1D4C2596-8409-49AB-AED2-40A2D56AA451}" type="presParOf" srcId="{B2551799-AA44-43AE-AA96-43C6EF02720E}" destId="{07B6AE79-89BA-48CC-8E1F-436779FA0BE0}" srcOrd="2" destOrd="0" presId="urn:microsoft.com/office/officeart/2005/8/layout/chevron1"/>
    <dgm:cxn modelId="{ECBBFA58-EA43-4C14-871B-E05463BF1611}" type="presParOf" srcId="{B2551799-AA44-43AE-AA96-43C6EF02720E}" destId="{683F0A50-2955-4D9E-9830-067B5E8DC442}" srcOrd="3" destOrd="0" presId="urn:microsoft.com/office/officeart/2005/8/layout/chevron1"/>
    <dgm:cxn modelId="{2650BF33-46A5-41BA-B340-5FF214DC851B}" type="presParOf" srcId="{B2551799-AA44-43AE-AA96-43C6EF02720E}" destId="{E07DAD2E-A4D7-4383-86A9-544A917D0FB1}" srcOrd="4" destOrd="0" presId="urn:microsoft.com/office/officeart/2005/8/layout/chevron1"/>
    <dgm:cxn modelId="{B6D4E812-5CAF-444E-AA0B-F07E8132930E}" type="presParOf" srcId="{B2551799-AA44-43AE-AA96-43C6EF02720E}" destId="{7A6B988D-748A-4CEF-8E1E-F5FB6FF446C9}" srcOrd="5" destOrd="0" presId="urn:microsoft.com/office/officeart/2005/8/layout/chevron1"/>
    <dgm:cxn modelId="{23F6632D-D907-432C-80C3-15A2B47CF2B0}" type="presParOf" srcId="{B2551799-AA44-43AE-AA96-43C6EF02720E}" destId="{DD428D82-28F3-48ED-98C7-033CB2DA287A}" srcOrd="6" destOrd="0" presId="urn:microsoft.com/office/officeart/2005/8/layout/chevron1"/>
    <dgm:cxn modelId="{5394EB0A-7872-4C13-AF6F-D8056491C013}" type="presParOf" srcId="{B2551799-AA44-43AE-AA96-43C6EF02720E}" destId="{03880185-16D1-43A5-B278-4DB9C2969DBC}" srcOrd="7" destOrd="0" presId="urn:microsoft.com/office/officeart/2005/8/layout/chevron1"/>
    <dgm:cxn modelId="{5F2D389E-5C00-4527-BCC9-B0662BAD0E78}" type="presParOf" srcId="{B2551799-AA44-43AE-AA96-43C6EF02720E}" destId="{9E1C40A6-6C82-4E66-8D81-7B8869806C01}" srcOrd="8" destOrd="0" presId="urn:microsoft.com/office/officeart/2005/8/layout/chevron1"/>
    <dgm:cxn modelId="{A8F86367-9EE9-41F0-98C4-5BFF07F90927}" type="presParOf" srcId="{B2551799-AA44-43AE-AA96-43C6EF02720E}" destId="{E9675749-99A3-40A4-82CF-3615C771624B}" srcOrd="9" destOrd="0" presId="urn:microsoft.com/office/officeart/2005/8/layout/chevron1"/>
    <dgm:cxn modelId="{742C8D31-F268-49A6-B255-4B3894A491C0}" type="presParOf" srcId="{B2551799-AA44-43AE-AA96-43C6EF02720E}" destId="{F3FF603B-997C-439D-A46B-825B9D24C94F}" srcOrd="10" destOrd="0" presId="urn:microsoft.com/office/officeart/2005/8/layout/chevron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132BBE7-6092-4A13-9BB7-4495919B637D}">
      <dsp:nvSpPr>
        <dsp:cNvPr id="0" name=""/>
        <dsp:cNvSpPr/>
      </dsp:nvSpPr>
      <dsp:spPr>
        <a:xfrm>
          <a:off x="25776" y="266701"/>
          <a:ext cx="1085135" cy="1135377"/>
        </a:xfrm>
        <a:prstGeom prst="chevron">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0005" tIns="13335" rIns="13335" bIns="13335" numCol="1" spcCol="1270" anchor="ctr" anchorCtr="0">
          <a:noAutofit/>
        </a:bodyPr>
        <a:lstStyle/>
        <a:p>
          <a:pPr marL="0" lvl="0" indent="0" algn="ctr" defTabSz="444500">
            <a:lnSpc>
              <a:spcPct val="90000"/>
            </a:lnSpc>
            <a:spcBef>
              <a:spcPct val="0"/>
            </a:spcBef>
            <a:spcAft>
              <a:spcPct val="35000"/>
            </a:spcAft>
            <a:buNone/>
          </a:pPr>
          <a:r>
            <a:rPr kumimoji="1" lang="ja-JP" altLang="en-US" sz="1000" b="1" kern="1200">
              <a:solidFill>
                <a:schemeClr val="tx1"/>
              </a:solidFill>
            </a:rPr>
            <a:t>目指す</a:t>
          </a:r>
          <a:br>
            <a:rPr kumimoji="1" lang="en-US" altLang="ja-JP" sz="1000" kern="1200">
              <a:solidFill>
                <a:schemeClr val="tx1"/>
              </a:solidFill>
            </a:rPr>
          </a:br>
          <a:r>
            <a:rPr kumimoji="1" lang="ja-JP" altLang="en-US" sz="1000" kern="1200">
              <a:solidFill>
                <a:schemeClr val="tx1"/>
              </a:solidFill>
            </a:rPr>
            <a:t>学習目標を知る</a:t>
          </a:r>
        </a:p>
      </dsp:txBody>
      <dsp:txXfrm>
        <a:off x="25776" y="266701"/>
        <a:ext cx="1085135" cy="1135377"/>
      </dsp:txXfrm>
    </dsp:sp>
    <dsp:sp modelId="{07B6AE79-89BA-48CC-8E1F-436779FA0BE0}">
      <dsp:nvSpPr>
        <dsp:cNvPr id="0" name=""/>
        <dsp:cNvSpPr/>
      </dsp:nvSpPr>
      <dsp:spPr>
        <a:xfrm>
          <a:off x="1002398" y="266701"/>
          <a:ext cx="1085135" cy="1135377"/>
        </a:xfrm>
        <a:prstGeom prst="chevron">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0005" tIns="13335" rIns="13335" bIns="13335" numCol="1" spcCol="1270" anchor="ctr" anchorCtr="0">
          <a:noAutofit/>
        </a:bodyPr>
        <a:lstStyle/>
        <a:p>
          <a:pPr marL="0" lvl="0" indent="0" algn="ctr" defTabSz="444500">
            <a:lnSpc>
              <a:spcPct val="90000"/>
            </a:lnSpc>
            <a:spcBef>
              <a:spcPct val="0"/>
            </a:spcBef>
            <a:spcAft>
              <a:spcPct val="35000"/>
            </a:spcAft>
            <a:buNone/>
          </a:pPr>
          <a:r>
            <a:rPr kumimoji="1" lang="ja-JP" altLang="en-US" sz="1000" b="1" kern="1200">
              <a:solidFill>
                <a:schemeClr val="tx1"/>
              </a:solidFill>
            </a:rPr>
            <a:t>つかむ</a:t>
          </a:r>
          <a:br>
            <a:rPr kumimoji="1" lang="en-US" altLang="ja-JP" sz="1000" kern="1200">
              <a:solidFill>
                <a:schemeClr val="tx1"/>
              </a:solidFill>
            </a:rPr>
          </a:br>
          <a:r>
            <a:rPr kumimoji="1" lang="ja-JP" altLang="en-US" sz="1000" kern="1200">
              <a:solidFill>
                <a:schemeClr val="tx1"/>
              </a:solidFill>
            </a:rPr>
            <a:t>学習内容に対する</a:t>
          </a:r>
          <a:br>
            <a:rPr kumimoji="1" lang="en-US" altLang="ja-JP" sz="1000" kern="1200">
              <a:solidFill>
                <a:schemeClr val="tx1"/>
              </a:solidFill>
            </a:rPr>
          </a:br>
          <a:r>
            <a:rPr kumimoji="1" lang="ja-JP" altLang="en-US" sz="1000" kern="1200">
              <a:solidFill>
                <a:schemeClr val="tx1"/>
              </a:solidFill>
            </a:rPr>
            <a:t>　気づきを持つ・内省する</a:t>
          </a:r>
        </a:p>
      </dsp:txBody>
      <dsp:txXfrm>
        <a:off x="1002398" y="266701"/>
        <a:ext cx="1085135" cy="1135377"/>
      </dsp:txXfrm>
    </dsp:sp>
    <dsp:sp modelId="{E07DAD2E-A4D7-4383-86A9-544A917D0FB1}">
      <dsp:nvSpPr>
        <dsp:cNvPr id="0" name=""/>
        <dsp:cNvSpPr/>
      </dsp:nvSpPr>
      <dsp:spPr>
        <a:xfrm>
          <a:off x="1979020" y="266701"/>
          <a:ext cx="1085135" cy="1135377"/>
        </a:xfrm>
        <a:prstGeom prst="chevron">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0005" tIns="13335" rIns="13335" bIns="13335" numCol="1" spcCol="1270" anchor="ctr" anchorCtr="0">
          <a:noAutofit/>
        </a:bodyPr>
        <a:lstStyle/>
        <a:p>
          <a:pPr marL="0" lvl="0" indent="0" algn="ctr" defTabSz="444500">
            <a:lnSpc>
              <a:spcPct val="90000"/>
            </a:lnSpc>
            <a:spcBef>
              <a:spcPct val="0"/>
            </a:spcBef>
            <a:spcAft>
              <a:spcPct val="35000"/>
            </a:spcAft>
            <a:buNone/>
          </a:pPr>
          <a:r>
            <a:rPr kumimoji="1" lang="ja-JP" altLang="en-US" sz="1000" b="1" kern="1200">
              <a:solidFill>
                <a:schemeClr val="tx1"/>
              </a:solidFill>
            </a:rPr>
            <a:t>わかる</a:t>
          </a:r>
          <a:br>
            <a:rPr kumimoji="1" lang="en-US" altLang="ja-JP" sz="1000" kern="1200">
              <a:solidFill>
                <a:schemeClr val="tx1"/>
              </a:solidFill>
            </a:rPr>
          </a:br>
          <a:r>
            <a:rPr kumimoji="1" lang="ja-JP" altLang="en-US" sz="1000" kern="1200">
              <a:solidFill>
                <a:schemeClr val="tx1"/>
              </a:solidFill>
            </a:rPr>
            <a:t>基礎知識</a:t>
          </a:r>
          <a:br>
            <a:rPr kumimoji="1" lang="en-US" altLang="ja-JP" sz="1000" kern="1200">
              <a:solidFill>
                <a:schemeClr val="tx1"/>
              </a:solidFill>
            </a:rPr>
          </a:br>
          <a:r>
            <a:rPr kumimoji="1" lang="ja-JP" altLang="en-US" sz="1000" kern="1200">
              <a:solidFill>
                <a:schemeClr val="tx1"/>
              </a:solidFill>
            </a:rPr>
            <a:t>を得る</a:t>
          </a:r>
        </a:p>
      </dsp:txBody>
      <dsp:txXfrm>
        <a:off x="1979020" y="266701"/>
        <a:ext cx="1085135" cy="1135377"/>
      </dsp:txXfrm>
    </dsp:sp>
    <dsp:sp modelId="{DD428D82-28F3-48ED-98C7-033CB2DA287A}">
      <dsp:nvSpPr>
        <dsp:cNvPr id="0" name=""/>
        <dsp:cNvSpPr/>
      </dsp:nvSpPr>
      <dsp:spPr>
        <a:xfrm>
          <a:off x="2932783" y="266701"/>
          <a:ext cx="1085135" cy="1135377"/>
        </a:xfrm>
        <a:prstGeom prst="chevron">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0005" tIns="13335" rIns="13335" bIns="13335" numCol="1" spcCol="1270" anchor="ctr" anchorCtr="0">
          <a:noAutofit/>
        </a:bodyPr>
        <a:lstStyle/>
        <a:p>
          <a:pPr marL="0" lvl="0" indent="0" algn="ctr" defTabSz="444500">
            <a:lnSpc>
              <a:spcPct val="90000"/>
            </a:lnSpc>
            <a:spcBef>
              <a:spcPct val="0"/>
            </a:spcBef>
            <a:spcAft>
              <a:spcPct val="35000"/>
            </a:spcAft>
            <a:buNone/>
          </a:pPr>
          <a:r>
            <a:rPr kumimoji="1" lang="ja-JP" altLang="en-US" sz="1000" b="1" kern="1200">
              <a:solidFill>
                <a:schemeClr val="tx1"/>
              </a:solidFill>
            </a:rPr>
            <a:t>使える</a:t>
          </a:r>
          <a:br>
            <a:rPr kumimoji="1" lang="en-US" altLang="ja-JP" sz="1000" kern="1200">
              <a:solidFill>
                <a:schemeClr val="tx1"/>
              </a:solidFill>
            </a:rPr>
          </a:br>
          <a:r>
            <a:rPr kumimoji="1" lang="ja-JP" altLang="en-US" sz="1000" kern="1200">
              <a:solidFill>
                <a:schemeClr val="tx1"/>
              </a:solidFill>
            </a:rPr>
            <a:t>理解を確認する・深化させる</a:t>
          </a:r>
        </a:p>
      </dsp:txBody>
      <dsp:txXfrm>
        <a:off x="2932783" y="266701"/>
        <a:ext cx="1085135" cy="1135377"/>
      </dsp:txXfrm>
    </dsp:sp>
    <dsp:sp modelId="{9E1C40A6-6C82-4E66-8D81-7B8869806C01}">
      <dsp:nvSpPr>
        <dsp:cNvPr id="0" name=""/>
        <dsp:cNvSpPr/>
      </dsp:nvSpPr>
      <dsp:spPr>
        <a:xfrm>
          <a:off x="3909405" y="266701"/>
          <a:ext cx="1085135" cy="1135377"/>
        </a:xfrm>
        <a:prstGeom prst="chevron">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0005" tIns="13335" rIns="13335" bIns="13335" numCol="1" spcCol="1270" anchor="ctr" anchorCtr="0">
          <a:noAutofit/>
        </a:bodyPr>
        <a:lstStyle/>
        <a:p>
          <a:pPr marL="0" lvl="0" indent="0" algn="ctr" defTabSz="444500">
            <a:lnSpc>
              <a:spcPct val="90000"/>
            </a:lnSpc>
            <a:spcBef>
              <a:spcPct val="0"/>
            </a:spcBef>
            <a:spcAft>
              <a:spcPct val="35000"/>
            </a:spcAft>
            <a:buNone/>
          </a:pPr>
          <a:r>
            <a:rPr kumimoji="1" lang="ja-JP" altLang="en-US" sz="1000" b="1" kern="1200">
              <a:solidFill>
                <a:schemeClr val="tx1"/>
              </a:solidFill>
            </a:rPr>
            <a:t>振り返る</a:t>
          </a:r>
          <a:br>
            <a:rPr kumimoji="1" lang="en-US" altLang="ja-JP" sz="1000" kern="1200">
              <a:solidFill>
                <a:schemeClr val="tx1"/>
              </a:solidFill>
            </a:rPr>
          </a:br>
          <a:r>
            <a:rPr kumimoji="1" lang="ja-JP" altLang="en-US" sz="1000" kern="1200">
              <a:solidFill>
                <a:schemeClr val="tx1"/>
              </a:solidFill>
            </a:rPr>
            <a:t>　学んだ内容に</a:t>
          </a:r>
          <a:br>
            <a:rPr kumimoji="1" lang="en-US" altLang="ja-JP" sz="1000" kern="1200">
              <a:solidFill>
                <a:schemeClr val="tx1"/>
              </a:solidFill>
            </a:rPr>
          </a:br>
          <a:r>
            <a:rPr kumimoji="1" lang="ja-JP" altLang="en-US" sz="1000" kern="1200">
              <a:solidFill>
                <a:schemeClr val="tx1"/>
              </a:solidFill>
            </a:rPr>
            <a:t>ついて振り返る</a:t>
          </a:r>
        </a:p>
      </dsp:txBody>
      <dsp:txXfrm>
        <a:off x="3909405" y="266701"/>
        <a:ext cx="1085135" cy="1135377"/>
      </dsp:txXfrm>
    </dsp:sp>
    <dsp:sp modelId="{F3FF603B-997C-439D-A46B-825B9D24C94F}">
      <dsp:nvSpPr>
        <dsp:cNvPr id="0" name=""/>
        <dsp:cNvSpPr/>
      </dsp:nvSpPr>
      <dsp:spPr>
        <a:xfrm>
          <a:off x="4886027" y="266701"/>
          <a:ext cx="1085135" cy="1135377"/>
        </a:xfrm>
        <a:prstGeom prst="chevron">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0005" tIns="13335" rIns="13335" bIns="13335" numCol="1" spcCol="1270" anchor="ctr" anchorCtr="0">
          <a:noAutofit/>
        </a:bodyPr>
        <a:lstStyle/>
        <a:p>
          <a:pPr marL="0" lvl="0" indent="0" algn="ctr" defTabSz="444500">
            <a:lnSpc>
              <a:spcPct val="90000"/>
            </a:lnSpc>
            <a:spcBef>
              <a:spcPct val="0"/>
            </a:spcBef>
            <a:spcAft>
              <a:spcPct val="35000"/>
            </a:spcAft>
            <a:buNone/>
          </a:pPr>
          <a:r>
            <a:rPr kumimoji="1" lang="ja-JP" altLang="en-US" sz="1000" b="1" kern="1200">
              <a:solidFill>
                <a:schemeClr val="tx1"/>
              </a:solidFill>
            </a:rPr>
            <a:t>振り返る</a:t>
          </a:r>
          <a:br>
            <a:rPr kumimoji="1" lang="en-US" altLang="ja-JP" sz="1000" kern="1200">
              <a:solidFill>
                <a:schemeClr val="tx1"/>
              </a:solidFill>
            </a:rPr>
          </a:br>
          <a:r>
            <a:rPr kumimoji="1" lang="ja-JP" altLang="en-US" sz="1000" kern="1200">
              <a:solidFill>
                <a:schemeClr val="tx1"/>
              </a:solidFill>
            </a:rPr>
            <a:t>学び方に</a:t>
          </a:r>
          <a:br>
            <a:rPr kumimoji="1" lang="en-US" altLang="ja-JP" sz="1000" kern="1200">
              <a:solidFill>
                <a:schemeClr val="tx1"/>
              </a:solidFill>
            </a:rPr>
          </a:br>
          <a:r>
            <a:rPr kumimoji="1" lang="ja-JP" altLang="en-US" sz="1000" kern="1200">
              <a:solidFill>
                <a:schemeClr val="tx1"/>
              </a:solidFill>
            </a:rPr>
            <a:t>ついて振り返る</a:t>
          </a:r>
        </a:p>
      </dsp:txBody>
      <dsp:txXfrm>
        <a:off x="4886027" y="266701"/>
        <a:ext cx="1085135" cy="1135377"/>
      </dsp:txXfrm>
    </dsp:sp>
  </dsp:spTree>
</dsp:drawing>
</file>

<file path=word/diagrams/layout1.xml><?xml version="1.0" encoding="utf-8"?>
<dgm:layoutDef xmlns:dgm="http://schemas.openxmlformats.org/drawingml/2006/diagram" xmlns:a="http://schemas.openxmlformats.org/drawingml/2006/main" uniqueId="urn:microsoft.com/office/officeart/2005/8/layout/chevron1">
  <dgm:title val=""/>
  <dgm:desc val=""/>
  <dgm:catLst>
    <dgm:cat type="process" pri="9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des" func="maxDepth" op="gte" val="2">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1.5"/>
          <dgm:constr type="h" for="des" forName="desTx" refType="primFontSz" refFor="des" refForName="parTx" fact="0.5"/>
          <dgm:constr type="w" for="ch" forName="space" op="equ" val="-6"/>
        </dgm:constrLst>
        <dgm:ruleLst>
          <dgm:rule type="w" for="ch" forName="composite" val="0" fact="NaN" max="NaN"/>
          <dgm:rule type="primFontSz" for="des" forName="parTx" val="5" fact="NaN" max="NaN"/>
        </dgm:ruleLst>
        <dgm:forEach name="Name6" axis="ch" ptType="node">
          <dgm:layoutNode name="composite">
            <dgm:alg type="composite"/>
            <dgm:shape xmlns:r="http://schemas.openxmlformats.org/officeDocument/2006/relationships" r:blip="">
              <dgm:adjLst/>
            </dgm:shape>
            <dgm:presOf/>
            <dgm:choose name="Name7">
              <dgm:if name="Name8" func="var" arg="dir" op="equ" val="norm">
                <dgm:constrLst>
                  <dgm:constr type="l" for="ch" forName="parTx"/>
                  <dgm:constr type="w" for="ch" forName="parTx" refType="w"/>
                  <dgm:constr type="t" for="ch" forName="parTx"/>
                  <dgm:constr type="l" for="ch" forName="desTx"/>
                  <dgm:constr type="w" for="ch" forName="desTx" refType="w" refFor="ch" refForName="parTx" fact="0.8"/>
                  <dgm:constr type="t" for="ch" forName="desTx" refType="h" refFor="ch" refForName="parTx" fact="1.125"/>
                </dgm:constrLst>
              </dgm:if>
              <dgm:else name="Name9">
                <dgm:constrLst>
                  <dgm:constr type="l" for="ch" forName="parTx"/>
                  <dgm:constr type="w" for="ch" forName="parTx" refType="w"/>
                  <dgm:constr type="t" for="ch" forName="parTx"/>
                  <dgm:constr type="l" for="ch" forName="desTx" refType="w" fact="0.2"/>
                  <dgm:constr type="w" for="ch" forName="desTx" refType="w" refFor="ch" refForName="parTx" fact="0.8"/>
                  <dgm:constr type="t" for="ch" forName="desTx" refType="h" refFor="ch" refForName="parTx" fact="1.125"/>
                </dgm:constrLst>
              </dgm:else>
            </dgm:choose>
            <dgm:ruleLst>
              <dgm:rule type="h" val="INF" fact="NaN" max="NaN"/>
            </dgm:ruleLst>
            <dgm:layoutNode name="parTx">
              <dgm:varLst>
                <dgm:chMax val="0"/>
                <dgm:chPref val="0"/>
                <dgm:bulletEnabled val="1"/>
              </dgm:varLst>
              <dgm:alg type="tx"/>
              <dgm:choose name="Name10">
                <dgm:if name="Name11" func="var" arg="dir" op="equ" val="norm">
                  <dgm:shape xmlns:r="http://schemas.openxmlformats.org/officeDocument/2006/relationships" type="chevron" r:blip="">
                    <dgm:adjLst/>
                  </dgm:shape>
                </dgm:if>
                <dgm:else name="Name12">
                  <dgm:shape xmlns:r="http://schemas.openxmlformats.org/officeDocument/2006/relationships" rot="180" type="chevron" r:blip="">
                    <dgm:adjLst/>
                  </dgm:shape>
                </dgm:else>
              </dgm:choose>
              <dgm:presOf axis="self" ptType="node"/>
              <dgm:choose name="Name13">
                <dgm:if name="Name14" func="var" arg="dir" op="equ" val="norm">
                  <dgm:constrLst>
                    <dgm:constr type="h" refType="w" op="lte" fact="0.4"/>
                    <dgm:constr type="h"/>
                    <dgm:constr type="tMarg" refType="primFontSz" fact="0.105"/>
                    <dgm:constr type="bMarg" refType="primFontSz" fact="0.105"/>
                    <dgm:constr type="lMarg" refType="primFontSz" fact="0.315"/>
                    <dgm:constr type="rMarg" refType="primFontSz" fact="0.105"/>
                  </dgm:constrLst>
                </dgm:if>
                <dgm:else name="Name15">
                  <dgm:constrLst>
                    <dgm:constr type="h" refType="w" op="lte" fact="0.4"/>
                    <dgm:constr type="h"/>
                    <dgm:constr type="tMarg" refType="primFontSz" fact="0.105"/>
                    <dgm:constr type="bMarg" refType="primFontSz" fact="0.105"/>
                    <dgm:constr type="lMarg" refType="primFontSz" fact="0.105"/>
                    <dgm:constr type="rMarg" refType="primFontSz" fact="0.315"/>
                  </dgm:constrLst>
                </dgm:else>
              </dgm:choose>
              <dgm:ruleLst>
                <dgm:rule type="h" val="INF" fact="NaN" max="NaN"/>
              </dgm:ruleLst>
            </dgm:layoutNode>
            <dgm:layoutNode name="desTx" styleLbl="revTx">
              <dgm:varLst>
                <dgm:bulletEnabled val="1"/>
              </dgm:varLst>
              <dgm:alg type="tx">
                <dgm:param type="stBulletLvl" val="1"/>
              </dgm:alg>
              <dgm:choose name="Name16">
                <dgm:if name="Name17" axis="ch" ptType="node" func="cnt" op="gte" val="1">
                  <dgm:shape xmlns:r="http://schemas.openxmlformats.org/officeDocument/2006/relationships" type="rect" r:blip="">
                    <dgm:adjLst/>
                  </dgm:shape>
                </dgm:if>
                <dgm:else name="Name18">
                  <dgm:shape xmlns:r="http://schemas.openxmlformats.org/officeDocument/2006/relationships" type="rect" r:blip="" hideGeom="1">
                    <dgm:adjLst/>
                  </dgm:shape>
                </dgm:else>
              </dgm:choose>
              <dgm:presOf axis="des" ptType="node"/>
              <dgm:constrLst>
                <dgm:constr type="secFontSz" val="65"/>
                <dgm:constr type="primFontSz" refType="secFontSz"/>
                <dgm:constr type="h"/>
                <dgm:constr type="tMarg"/>
                <dgm:constr type="bMarg"/>
                <dgm:constr type="rMarg"/>
                <dgm:constr type="lMarg"/>
              </dgm:constrLst>
              <dgm:ruleLst>
                <dgm:rule type="h" val="INF" fact="NaN" max="NaN"/>
              </dgm:ruleLst>
            </dgm:layoutNode>
          </dgm:layoutNode>
          <dgm:forEach name="Name19" axis="followSib" ptType="sibTrans" cnt="1">
            <dgm:layoutNode name="space">
              <dgm:alg type="sp"/>
              <dgm:shape xmlns:r="http://schemas.openxmlformats.org/officeDocument/2006/relationships" r:blip="">
                <dgm:adjLst/>
              </dgm:shape>
              <dgm:presOf/>
              <dgm:constrLst/>
              <dgm:ruleLst/>
            </dgm:layoutNode>
          </dgm:forEach>
        </dgm:forEach>
      </dgm:if>
      <dgm:else name="Name20">
        <dgm:constrLst>
          <dgm:constr type="w" for="ch" forName="parTxOnly" refType="w"/>
          <dgm:constr type="h" for="des" forName="parTxOnly" op="equ"/>
          <dgm:constr type="primFontSz" for="des" forName="parTxOnly" op="equ" val="65"/>
          <dgm:constr type="w" for="ch" forName="parTxOnlySpace" refType="w" refFor="ch" refForName="parTxOnly" fact="-0.1"/>
        </dgm:constrLst>
        <dgm:ruleLst/>
        <dgm:forEach name="Name21" axis="ch" ptType="node">
          <dgm:layoutNode name="parTxOnly">
            <dgm:varLst>
              <dgm:chMax val="0"/>
              <dgm:chPref val="0"/>
              <dgm:bulletEnabled val="1"/>
            </dgm:varLst>
            <dgm:alg type="tx"/>
            <dgm:choose name="Name22">
              <dgm:if name="Name23" func="var" arg="dir" op="equ" val="norm">
                <dgm:shape xmlns:r="http://schemas.openxmlformats.org/officeDocument/2006/relationships" type="chevron" r:blip="">
                  <dgm:adjLst/>
                </dgm:shape>
              </dgm:if>
              <dgm:else name="Name24">
                <dgm:shape xmlns:r="http://schemas.openxmlformats.org/officeDocument/2006/relationships" rot="180" type="chevron" r:blip="">
                  <dgm:adjLst/>
                </dgm:shape>
              </dgm:else>
            </dgm:choose>
            <dgm:presOf axis="self" ptType="node"/>
            <dgm:choose name="Name25">
              <dgm:if name="Name26" func="var" arg="dir" op="equ" val="norm">
                <dgm:constrLst>
                  <dgm:constr type="h" refType="w" op="equ" fact="0.4"/>
                  <dgm:constr type="tMarg" refType="primFontSz" fact="0.105"/>
                  <dgm:constr type="bMarg" refType="primFontSz" fact="0.105"/>
                  <dgm:constr type="lMarg" refType="primFontSz" fact="0.315"/>
                  <dgm:constr type="rMarg" refType="primFontSz" fact="0.105"/>
                </dgm:constrLst>
              </dgm:if>
              <dgm:else name="Name27">
                <dgm:constrLst>
                  <dgm:constr type="h" refType="w" op="equ" fact="0.4"/>
                  <dgm:constr type="tMarg" refType="primFontSz" fact="0.105"/>
                  <dgm:constr type="bMarg" refType="primFontSz" fact="0.105"/>
                  <dgm:constr type="lMarg" refType="primFontSz" fact="0.105"/>
                  <dgm:constr type="rMarg" refType="primFontSz" fact="0.315"/>
                </dgm:constrLst>
              </dgm:else>
            </dgm:choose>
            <dgm:ruleLst>
              <dgm:rule type="primFontSz" val="5" fact="NaN" max="NaN"/>
            </dgm:ruleLst>
          </dgm:layoutNode>
          <dgm:forEach name="Name28" axis="followSib" ptType="sibTrans" cnt="1">
            <dgm:layoutNode name="parTxOnlySpace">
              <dgm:alg type="sp"/>
              <dgm:shape xmlns:r="http://schemas.openxmlformats.org/officeDocument/2006/relationships" r:blip="">
                <dgm:adjLst/>
              </dgm:shape>
              <dgm:presOf/>
              <dgm:constrLst/>
              <dgm:ruleLst/>
            </dgm:layoutNode>
          </dgm:forEach>
        </dgm:forEach>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Trebuchet MS">
      <a:majorFont>
        <a:latin typeface="Trebuchet MS" panose="020B0603020202020204"/>
        <a:ea typeface=""/>
        <a:cs typeface=""/>
        <a:font script="Jpan" typeface="HGｺﾞｼｯｸM"/>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HG丸ｺﾞｼｯｸM-PRO"/>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48831D6B4C85148A0D2A13E5D00FB73" ma:contentTypeVersion="9" ma:contentTypeDescription="新しいドキュメントを作成します。" ma:contentTypeScope="" ma:versionID="60acd8152094bb725ed4e3ee1bf992f4">
  <xsd:schema xmlns:xsd="http://www.w3.org/2001/XMLSchema" xmlns:xs="http://www.w3.org/2001/XMLSchema" xmlns:p="http://schemas.microsoft.com/office/2006/metadata/properties" xmlns:ns2="215efa2c-bebf-4623-ab32-38aada62118f" targetNamespace="http://schemas.microsoft.com/office/2006/metadata/properties" ma:root="true" ma:fieldsID="87f8233297a43e434f5976eba6117590" ns2:_="">
    <xsd:import namespace="215efa2c-bebf-4623-ab32-38aada62118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5efa2c-bebf-4623-ab32-38aada6211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3A04EB-2159-427D-804C-7CBA5477745F}">
  <ds:schemaRefs>
    <ds:schemaRef ds:uri="http://schemas.openxmlformats.org/officeDocument/2006/bibliography"/>
  </ds:schemaRefs>
</ds:datastoreItem>
</file>

<file path=customXml/itemProps2.xml><?xml version="1.0" encoding="utf-8"?>
<ds:datastoreItem xmlns:ds="http://schemas.openxmlformats.org/officeDocument/2006/customXml" ds:itemID="{CB961DEA-AF3F-4E8F-A6FE-722811CE6E81}"/>
</file>

<file path=customXml/itemProps3.xml><?xml version="1.0" encoding="utf-8"?>
<ds:datastoreItem xmlns:ds="http://schemas.openxmlformats.org/officeDocument/2006/customXml" ds:itemID="{F25DA250-C0DC-4E92-8CB9-34051DD91CF9}"/>
</file>

<file path=customXml/itemProps4.xml><?xml version="1.0" encoding="utf-8"?>
<ds:datastoreItem xmlns:ds="http://schemas.openxmlformats.org/officeDocument/2006/customXml" ds:itemID="{CF29E7ED-1E41-41A9-A478-2B3F9D0A0056}"/>
</file>

<file path=docProps/app.xml><?xml version="1.0" encoding="utf-8"?>
<Properties xmlns="http://schemas.openxmlformats.org/officeDocument/2006/extended-properties" xmlns:vt="http://schemas.openxmlformats.org/officeDocument/2006/docPropsVTypes">
  <Template>Normal.dotm</Template>
  <TotalTime>11</TotalTime>
  <Pages>1</Pages>
  <Words>88</Words>
  <Characters>505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齋藤 ひとみ</dc:creator>
  <cp:keywords/>
  <dc:description/>
  <cp:lastModifiedBy>Kyoko Umeda</cp:lastModifiedBy>
  <cp:revision>9</cp:revision>
  <dcterms:created xsi:type="dcterms:W3CDTF">2019-02-15T07:18:00Z</dcterms:created>
  <dcterms:modified xsi:type="dcterms:W3CDTF">2019-03-16T05:50:00Z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0x010100A48831D6B4C85148A0D2A13E5D00FB73</vt:lpwstr>
  </property>
</Properties>
</file>