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D6F31" w14:textId="47229E00" w:rsidR="00CE4546" w:rsidRPr="0076490D" w:rsidRDefault="0081575E" w:rsidP="0076490D">
      <w:pPr>
        <w:snapToGrid w:val="0"/>
        <w:rPr>
          <w:rFonts w:ascii="游明朝" w:hAnsi="游明朝"/>
          <w:szCs w:val="18"/>
        </w:rPr>
      </w:pPr>
      <w:r w:rsidRPr="0076490D">
        <w:rPr>
          <w:rFonts w:ascii="游明朝" w:hAnsi="游明朝"/>
          <w:noProof/>
          <w:szCs w:val="18"/>
        </w:rPr>
        <mc:AlternateContent>
          <mc:Choice Requires="wpg">
            <w:drawing>
              <wp:anchor distT="0" distB="0" distL="114300" distR="114300" simplePos="0" relativeHeight="251785216" behindDoc="0" locked="0" layoutInCell="1" allowOverlap="1" wp14:anchorId="6DB15CC7" wp14:editId="77A93D84">
                <wp:simplePos x="0" y="0"/>
                <wp:positionH relativeFrom="column">
                  <wp:posOffset>5181</wp:posOffset>
                </wp:positionH>
                <wp:positionV relativeFrom="paragraph">
                  <wp:posOffset>10640</wp:posOffset>
                </wp:positionV>
                <wp:extent cx="5487600" cy="478798"/>
                <wp:effectExtent l="0" t="0" r="0" b="0"/>
                <wp:wrapNone/>
                <wp:docPr id="92" name="グループ化 92"/>
                <wp:cNvGraphicFramePr/>
                <a:graphic xmlns:a="http://schemas.openxmlformats.org/drawingml/2006/main">
                  <a:graphicData uri="http://schemas.microsoft.com/office/word/2010/wordprocessingGroup">
                    <wpg:wgp>
                      <wpg:cNvGrpSpPr/>
                      <wpg:grpSpPr>
                        <a:xfrm>
                          <a:off x="0" y="0"/>
                          <a:ext cx="5487600" cy="478798"/>
                          <a:chOff x="0" y="0"/>
                          <a:chExt cx="5487600" cy="478798"/>
                        </a:xfrm>
                      </wpg:grpSpPr>
                      <wps:wsp>
                        <wps:cNvPr id="87" name="直線コネクタ 87"/>
                        <wps:cNvCnPr/>
                        <wps:spPr>
                          <a:xfrm>
                            <a:off x="609600" y="475472"/>
                            <a:ext cx="487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88" name="直線コネクタ 88"/>
                        <wps:cNvCnPr/>
                        <wps:spPr>
                          <a:xfrm>
                            <a:off x="5480304" y="12192"/>
                            <a:ext cx="0" cy="466606"/>
                          </a:xfrm>
                          <a:prstGeom prst="line">
                            <a:avLst/>
                          </a:prstGeom>
                        </wps:spPr>
                        <wps:style>
                          <a:lnRef idx="1">
                            <a:schemeClr val="dk1"/>
                          </a:lnRef>
                          <a:fillRef idx="0">
                            <a:schemeClr val="dk1"/>
                          </a:fillRef>
                          <a:effectRef idx="0">
                            <a:schemeClr val="dk1"/>
                          </a:effectRef>
                          <a:fontRef idx="minor">
                            <a:schemeClr val="tx1"/>
                          </a:fontRef>
                        </wps:style>
                        <wps:bodyPr/>
                      </wps:wsp>
                      <wpg:grpSp>
                        <wpg:cNvPr id="91" name="グループ化 91"/>
                        <wpg:cNvGrpSpPr/>
                        <wpg:grpSpPr>
                          <a:xfrm>
                            <a:off x="0" y="0"/>
                            <a:ext cx="5471973" cy="476976"/>
                            <a:chOff x="0" y="0"/>
                            <a:chExt cx="5471973" cy="476976"/>
                          </a:xfrm>
                        </wpg:grpSpPr>
                        <wps:wsp>
                          <wps:cNvPr id="82" name="テキスト ボックス 82"/>
                          <wps:cNvSpPr txBox="1"/>
                          <wps:spPr>
                            <a:xfrm>
                              <a:off x="0" y="0"/>
                              <a:ext cx="612000" cy="144000"/>
                            </a:xfrm>
                            <a:prstGeom prst="rect">
                              <a:avLst/>
                            </a:prstGeom>
                            <a:solidFill>
                              <a:schemeClr val="tx1"/>
                            </a:solidFill>
                            <a:ln w="6350">
                              <a:noFill/>
                            </a:ln>
                          </wps:spPr>
                          <wps:txbx>
                            <w:txbxContent>
                              <w:p w14:paraId="05A93934" w14:textId="6E28285B" w:rsidR="00CE4546" w:rsidRPr="004C524D" w:rsidRDefault="00CE4546" w:rsidP="0081575E">
                                <w:pPr>
                                  <w:spacing w:line="120" w:lineRule="exact"/>
                                  <w:jc w:val="center"/>
                                  <w:rPr>
                                    <w:rFonts w:ascii="游ゴシック" w:eastAsia="游ゴシック" w:hAnsi="游ゴシック"/>
                                    <w:sz w:val="12"/>
                                    <w:szCs w:val="12"/>
                                  </w:rPr>
                                </w:pPr>
                                <w:r w:rsidRPr="004C524D">
                                  <w:rPr>
                                    <w:rFonts w:ascii="游ゴシック" w:eastAsia="游ゴシック" w:hAnsi="游ゴシック" w:hint="eastAsia"/>
                                    <w:sz w:val="12"/>
                                    <w:szCs w:val="12"/>
                                  </w:rPr>
                                  <w:t>第</w:t>
                                </w:r>
                                <w:r w:rsidR="00361B74">
                                  <w:rPr>
                                    <w:rFonts w:ascii="游ゴシック" w:eastAsia="游ゴシック" w:hAnsi="游ゴシック" w:hint="eastAsia"/>
                                    <w:sz w:val="12"/>
                                    <w:szCs w:val="12"/>
                                  </w:rPr>
                                  <w:t>２</w:t>
                                </w:r>
                                <w:r w:rsidR="00992D07" w:rsidRPr="004C524D">
                                  <w:rPr>
                                    <w:rFonts w:ascii="游ゴシック" w:eastAsia="游ゴシック" w:hAnsi="游ゴシック" w:hint="eastAsia"/>
                                    <w:sz w:val="12"/>
                                    <w:szCs w:val="12"/>
                                  </w:rPr>
                                  <w:t>編</w:t>
                                </w:r>
                              </w:p>
                            </w:txbxContent>
                          </wps:txbx>
                          <wps:bodyPr rot="0" spcFirstLastPara="0" vertOverflow="overflow" horzOverflow="overflow" vert="horz" wrap="square" lIns="0" tIns="18000" rIns="0" bIns="0" numCol="1" spcCol="0" rtlCol="0" fromWordArt="0" anchor="ctr" anchorCtr="0" forceAA="0" compatLnSpc="1">
                            <a:prstTxWarp prst="textNoShape">
                              <a:avLst/>
                            </a:prstTxWarp>
                            <a:noAutofit/>
                          </wps:bodyPr>
                        </wps:wsp>
                        <wps:wsp>
                          <wps:cNvPr id="84" name="テキスト ボックス 84"/>
                          <wps:cNvSpPr txBox="1"/>
                          <wps:spPr>
                            <a:xfrm>
                              <a:off x="0" y="188976"/>
                              <a:ext cx="611546" cy="288000"/>
                            </a:xfrm>
                            <a:prstGeom prst="rect">
                              <a:avLst/>
                            </a:prstGeom>
                            <a:solidFill>
                              <a:schemeClr val="bg1">
                                <a:lumMod val="85000"/>
                              </a:schemeClr>
                            </a:solidFill>
                            <a:ln w="6350">
                              <a:noFill/>
                            </a:ln>
                          </wps:spPr>
                          <wps:txbx>
                            <w:txbxContent>
                              <w:p w14:paraId="344BD95E" w14:textId="407B2691" w:rsidR="00CE4546" w:rsidRPr="004C524D" w:rsidRDefault="00132A6D" w:rsidP="00132A6D">
                                <w:pPr>
                                  <w:spacing w:line="200" w:lineRule="exact"/>
                                  <w:jc w:val="center"/>
                                  <w:rPr>
                                    <w:rFonts w:ascii="游ゴシック" w:eastAsia="游ゴシック" w:hAnsi="游ゴシック"/>
                                    <w:sz w:val="12"/>
                                    <w:szCs w:val="12"/>
                                  </w:rPr>
                                </w:pPr>
                                <w:r w:rsidRPr="004C524D">
                                  <w:rPr>
                                    <w:rFonts w:ascii="游ゴシック" w:eastAsia="游ゴシック" w:hAnsi="游ゴシック" w:hint="eastAsia"/>
                                    <w:sz w:val="12"/>
                                    <w:szCs w:val="12"/>
                                  </w:rPr>
                                  <w:t>第</w:t>
                                </w:r>
                                <w:r w:rsidR="00361B74">
                                  <w:rPr>
                                    <w:rFonts w:ascii="游ゴシック" w:eastAsia="游ゴシック" w:hAnsi="游ゴシック" w:hint="eastAsia"/>
                                  </w:rPr>
                                  <w:t>３</w:t>
                                </w:r>
                                <w:r w:rsidRPr="004C524D">
                                  <w:rPr>
                                    <w:rFonts w:ascii="游ゴシック" w:eastAsia="游ゴシック" w:hAnsi="游ゴシック" w:hint="eastAsia"/>
                                    <w:sz w:val="12"/>
                                    <w:szCs w:val="12"/>
                                  </w:rPr>
                                  <w:t>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6" name="テキスト ボックス 86"/>
                          <wps:cNvSpPr txBox="1"/>
                          <wps:spPr>
                            <a:xfrm>
                              <a:off x="611973" y="1"/>
                              <a:ext cx="4860000" cy="447129"/>
                            </a:xfrm>
                            <a:prstGeom prst="rect">
                              <a:avLst/>
                            </a:prstGeom>
                            <a:solidFill>
                              <a:schemeClr val="bg1"/>
                            </a:solidFill>
                            <a:ln w="6350">
                              <a:noFill/>
                            </a:ln>
                          </wps:spPr>
                          <wps:txbx>
                            <w:txbxContent>
                              <w:p w14:paraId="08998ECA" w14:textId="7DD0C8C7" w:rsidR="00132A6D" w:rsidRPr="004C524D" w:rsidRDefault="00361B74" w:rsidP="00132A6D">
                                <w:pPr>
                                  <w:ind w:leftChars="71" w:left="128"/>
                                  <w:jc w:val="left"/>
                                  <w:rPr>
                                    <w:rFonts w:ascii="游ゴシック" w:eastAsia="游ゴシック" w:hAnsi="游ゴシック"/>
                                    <w:sz w:val="28"/>
                                    <w:szCs w:val="28"/>
                                  </w:rPr>
                                </w:pPr>
                                <w:r w:rsidRPr="00361B74">
                                  <w:rPr>
                                    <w:rFonts w:ascii="游ゴシック" w:eastAsia="游ゴシック" w:hAnsi="游ゴシック" w:hint="eastAsia"/>
                                    <w:sz w:val="28"/>
                                    <w:szCs w:val="28"/>
                                  </w:rPr>
                                  <w:t>現代の経済社会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9" name="テキスト ボックス 89"/>
                          <wps:cNvSpPr txBox="1"/>
                          <wps:spPr>
                            <a:xfrm>
                              <a:off x="4553712" y="24384"/>
                              <a:ext cx="905671" cy="106935"/>
                            </a:xfrm>
                            <a:prstGeom prst="rect">
                              <a:avLst/>
                            </a:prstGeom>
                            <a:solidFill>
                              <a:schemeClr val="bg1"/>
                            </a:solidFill>
                            <a:ln w="6350">
                              <a:noFill/>
                            </a:ln>
                          </wps:spPr>
                          <wps:txbx>
                            <w:txbxContent>
                              <w:p w14:paraId="1256E19E" w14:textId="0636228D" w:rsidR="00132A6D" w:rsidRPr="004C524D" w:rsidRDefault="00132A6D" w:rsidP="00132A6D">
                                <w:pPr>
                                  <w:spacing w:line="120" w:lineRule="exact"/>
                                  <w:jc w:val="right"/>
                                  <w:rPr>
                                    <w:rFonts w:ascii="游ゴシック" w:eastAsia="游ゴシック" w:hAnsi="游ゴシック"/>
                                    <w:color w:val="808080" w:themeColor="background1" w:themeShade="80"/>
                                    <w:sz w:val="12"/>
                                    <w:szCs w:val="12"/>
                                  </w:rPr>
                                </w:pPr>
                                <w:r w:rsidRPr="004C524D">
                                  <w:rPr>
                                    <w:rFonts w:ascii="游ゴシック" w:eastAsia="游ゴシック" w:hAnsi="游ゴシック" w:hint="eastAsia"/>
                                    <w:sz w:val="12"/>
                                    <w:szCs w:val="12"/>
                                  </w:rPr>
                                  <w:t>教科書p.</w:t>
                                </w:r>
                                <w:r w:rsidR="00361B74">
                                  <w:rPr>
                                    <w:rFonts w:ascii="游ゴシック" w:eastAsia="游ゴシック" w:hAnsi="游ゴシック" w:hint="eastAsia"/>
                                    <w:sz w:val="12"/>
                                    <w:szCs w:val="12"/>
                                  </w:rPr>
                                  <w:t>1</w:t>
                                </w:r>
                                <w:r w:rsidR="00361B74">
                                  <w:rPr>
                                    <w:rFonts w:ascii="游ゴシック" w:eastAsia="游ゴシック" w:hAnsi="游ゴシック"/>
                                    <w:sz w:val="12"/>
                                    <w:szCs w:val="12"/>
                                  </w:rPr>
                                  <w:t>48</w:t>
                                </w:r>
                                <w:r w:rsidRPr="004C524D">
                                  <w:rPr>
                                    <w:rFonts w:ascii="游ゴシック" w:eastAsia="游ゴシック" w:hAnsi="游ゴシック" w:hint="eastAsia"/>
                                    <w:sz w:val="12"/>
                                    <w:szCs w:val="12"/>
                                  </w:rPr>
                                  <w:t>～</w:t>
                                </w:r>
                                <w:r w:rsidR="00287401">
                                  <w:rPr>
                                    <w:rFonts w:ascii="游ゴシック" w:eastAsia="游ゴシック" w:hAnsi="游ゴシック" w:hint="eastAsia"/>
                                    <w:sz w:val="12"/>
                                    <w:szCs w:val="12"/>
                                  </w:rPr>
                                  <w:t>1</w:t>
                                </w:r>
                                <w:r w:rsidR="00361B74">
                                  <w:rPr>
                                    <w:rFonts w:ascii="游ゴシック" w:eastAsia="游ゴシック" w:hAnsi="游ゴシック"/>
                                    <w:sz w:val="12"/>
                                    <w:szCs w:val="12"/>
                                  </w:rPr>
                                  <w:t>83</w:t>
                                </w:r>
                                <w:r w:rsidRPr="004C524D">
                                  <w:rPr>
                                    <w:rFonts w:ascii="游ゴシック" w:eastAsia="游ゴシック" w:hAnsi="游ゴシック" w:hint="eastAsia"/>
                                    <w:color w:val="808080" w:themeColor="background1" w:themeShade="80"/>
                                    <w:w w:val="150"/>
                                    <w:sz w:val="12"/>
                                    <w:szCs w:val="1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DB15CC7" id="グループ化 92" o:spid="_x0000_s1026" style="position:absolute;left:0;text-align:left;margin-left:.4pt;margin-top:.85pt;width:432.1pt;height:37.7pt;z-index:251785216;mso-width-relative:margin" coordsize="54876,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">
                <v:line id="直線コネクタ 87" o:spid="_x0000_s1027" style="position:absolute;visibility:visible;mso-wrap-style:square" from="6096,4754" to="54876,4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" strokecolor="black [3200]" strokeweight=".5pt">
                  <v:stroke joinstyle="miter"/>
                </v:line>
                <v:line id="直線コネクタ 88" o:spid="_x0000_s1028" style="position:absolute;visibility:visible;mso-wrap-style:square" from="54803,121" to="54803,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" strokecolor="black [3200]" strokeweight=".5pt">
                  <v:stroke joinstyle="miter"/>
                </v:line>
                <v:group id="グループ化 91" o:spid="_x0000_s1029" style="position:absolute;width:54719;height:4769" coordsize="54719,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type id="_x0000_t202" coordsize="21600,21600" o:spt="202" path="m,l,21600r21600,l21600,xe">
                    <v:stroke joinstyle="miter"/>
                    <v:path gradientshapeok="t" o:connecttype="rect"/>
                  </v:shapetype>
                  <v:shape id="テキスト ボックス 82" o:spid="_x0000_s1030" type="#_x0000_t202" style="position:absolute;width:612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" fillcolor="black [3213]" stroked="f" strokeweight=".5pt">
                    <v:textbox inset="0,.5mm,0,0">
                      <w:txbxContent>
                        <w:p w14:paraId="05A93934" w14:textId="6E28285B" w:rsidR="00CE4546" w:rsidRPr="004C524D" w:rsidRDefault="00CE4546" w:rsidP="0081575E">
                          <w:pPr>
                            <w:spacing w:line="120" w:lineRule="exact"/>
                            <w:jc w:val="center"/>
                            <w:rPr>
                              <w:rFonts w:ascii="游ゴシック" w:eastAsia="游ゴシック" w:hAnsi="游ゴシック"/>
                              <w:sz w:val="12"/>
                              <w:szCs w:val="12"/>
                            </w:rPr>
                          </w:pPr>
                          <w:r w:rsidRPr="004C524D">
                            <w:rPr>
                              <w:rFonts w:ascii="游ゴシック" w:eastAsia="游ゴシック" w:hAnsi="游ゴシック" w:hint="eastAsia"/>
                              <w:sz w:val="12"/>
                              <w:szCs w:val="12"/>
                            </w:rPr>
                            <w:t>第</w:t>
                          </w:r>
                          <w:r w:rsidR="00361B74">
                            <w:rPr>
                              <w:rFonts w:ascii="游ゴシック" w:eastAsia="游ゴシック" w:hAnsi="游ゴシック" w:hint="eastAsia"/>
                              <w:sz w:val="12"/>
                              <w:szCs w:val="12"/>
                            </w:rPr>
                            <w:t>２</w:t>
                          </w:r>
                          <w:r w:rsidR="00992D07" w:rsidRPr="004C524D">
                            <w:rPr>
                              <w:rFonts w:ascii="游ゴシック" w:eastAsia="游ゴシック" w:hAnsi="游ゴシック" w:hint="eastAsia"/>
                              <w:sz w:val="12"/>
                              <w:szCs w:val="12"/>
                            </w:rPr>
                            <w:t>編</w:t>
                          </w:r>
                        </w:p>
                      </w:txbxContent>
                    </v:textbox>
                  </v:shape>
                  <v:shape id="テキスト ボックス 84" o:spid="_x0000_s1031" type="#_x0000_t202" style="position:absolute;top:1889;width:6115;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" fillcolor="#d8d8d8 [2732]" stroked="f" strokeweight=".5pt">
                    <v:textbox inset="0,0,0,0">
                      <w:txbxContent>
                        <w:p w14:paraId="344BD95E" w14:textId="407B2691" w:rsidR="00CE4546" w:rsidRPr="004C524D" w:rsidRDefault="00132A6D" w:rsidP="00132A6D">
                          <w:pPr>
                            <w:spacing w:line="200" w:lineRule="exact"/>
                            <w:jc w:val="center"/>
                            <w:rPr>
                              <w:rFonts w:ascii="游ゴシック" w:eastAsia="游ゴシック" w:hAnsi="游ゴシック"/>
                              <w:sz w:val="12"/>
                              <w:szCs w:val="12"/>
                            </w:rPr>
                          </w:pPr>
                          <w:r w:rsidRPr="004C524D">
                            <w:rPr>
                              <w:rFonts w:ascii="游ゴシック" w:eastAsia="游ゴシック" w:hAnsi="游ゴシック" w:hint="eastAsia"/>
                              <w:sz w:val="12"/>
                              <w:szCs w:val="12"/>
                            </w:rPr>
                            <w:t>第</w:t>
                          </w:r>
                          <w:r w:rsidR="00361B74">
                            <w:rPr>
                              <w:rFonts w:ascii="游ゴシック" w:eastAsia="游ゴシック" w:hAnsi="游ゴシック" w:hint="eastAsia"/>
                            </w:rPr>
                            <w:t>３</w:t>
                          </w:r>
                          <w:r w:rsidRPr="004C524D">
                            <w:rPr>
                              <w:rFonts w:ascii="游ゴシック" w:eastAsia="游ゴシック" w:hAnsi="游ゴシック" w:hint="eastAsia"/>
                              <w:sz w:val="12"/>
                              <w:szCs w:val="12"/>
                            </w:rPr>
                            <w:t>章</w:t>
                          </w:r>
                        </w:p>
                      </w:txbxContent>
                    </v:textbox>
                  </v:shape>
                  <v:shape id="テキスト ボックス 86" o:spid="_x0000_s1032" type="#_x0000_t202" style="position:absolute;left:6119;width:48600;height:4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" fillcolor="white [3212]" stroked="f" strokeweight=".5pt">
                    <v:textbox inset="0,0,0,0">
                      <w:txbxContent>
                        <w:p w14:paraId="08998ECA" w14:textId="7DD0C8C7" w:rsidR="00132A6D" w:rsidRPr="004C524D" w:rsidRDefault="00361B74" w:rsidP="00132A6D">
                          <w:pPr>
                            <w:ind w:leftChars="71" w:left="128"/>
                            <w:jc w:val="left"/>
                            <w:rPr>
                              <w:rFonts w:ascii="游ゴシック" w:eastAsia="游ゴシック" w:hAnsi="游ゴシック"/>
                              <w:sz w:val="28"/>
                              <w:szCs w:val="28"/>
                            </w:rPr>
                          </w:pPr>
                          <w:r w:rsidRPr="00361B74">
                            <w:rPr>
                              <w:rFonts w:ascii="游ゴシック" w:eastAsia="游ゴシック" w:hAnsi="游ゴシック" w:hint="eastAsia"/>
                              <w:sz w:val="28"/>
                              <w:szCs w:val="28"/>
                            </w:rPr>
                            <w:t>現代の経済社会</w:t>
                          </w:r>
                        </w:p>
                      </w:txbxContent>
                    </v:textbox>
                  </v:shape>
                  <v:shape id="テキスト ボックス 89" o:spid="_x0000_s1033" type="#_x0000_t202" style="position:absolute;left:45537;top:243;width:9056;height:1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" fillcolor="white [3212]" stroked="f" strokeweight=".5pt">
                    <v:textbox inset="0,0,0,0">
                      <w:txbxContent>
                        <w:p w14:paraId="1256E19E" w14:textId="0636228D" w:rsidR="00132A6D" w:rsidRPr="004C524D" w:rsidRDefault="00132A6D" w:rsidP="00132A6D">
                          <w:pPr>
                            <w:spacing w:line="120" w:lineRule="exact"/>
                            <w:jc w:val="right"/>
                            <w:rPr>
                              <w:rFonts w:ascii="游ゴシック" w:eastAsia="游ゴシック" w:hAnsi="游ゴシック"/>
                              <w:color w:val="808080" w:themeColor="background1" w:themeShade="80"/>
                              <w:sz w:val="12"/>
                              <w:szCs w:val="12"/>
                            </w:rPr>
                          </w:pPr>
                          <w:r w:rsidRPr="004C524D">
                            <w:rPr>
                              <w:rFonts w:ascii="游ゴシック" w:eastAsia="游ゴシック" w:hAnsi="游ゴシック" w:hint="eastAsia"/>
                              <w:sz w:val="12"/>
                              <w:szCs w:val="12"/>
                            </w:rPr>
                            <w:t>教科書p.</w:t>
                          </w:r>
                          <w:r w:rsidR="00361B74">
                            <w:rPr>
                              <w:rFonts w:ascii="游ゴシック" w:eastAsia="游ゴシック" w:hAnsi="游ゴシック" w:hint="eastAsia"/>
                              <w:sz w:val="12"/>
                              <w:szCs w:val="12"/>
                            </w:rPr>
                            <w:t>1</w:t>
                          </w:r>
                          <w:r w:rsidR="00361B74">
                            <w:rPr>
                              <w:rFonts w:ascii="游ゴシック" w:eastAsia="游ゴシック" w:hAnsi="游ゴシック"/>
                              <w:sz w:val="12"/>
                              <w:szCs w:val="12"/>
                            </w:rPr>
                            <w:t>48</w:t>
                          </w:r>
                          <w:r w:rsidRPr="004C524D">
                            <w:rPr>
                              <w:rFonts w:ascii="游ゴシック" w:eastAsia="游ゴシック" w:hAnsi="游ゴシック" w:hint="eastAsia"/>
                              <w:sz w:val="12"/>
                              <w:szCs w:val="12"/>
                            </w:rPr>
                            <w:t>～</w:t>
                          </w:r>
                          <w:r w:rsidR="00287401">
                            <w:rPr>
                              <w:rFonts w:ascii="游ゴシック" w:eastAsia="游ゴシック" w:hAnsi="游ゴシック" w:hint="eastAsia"/>
                              <w:sz w:val="12"/>
                              <w:szCs w:val="12"/>
                            </w:rPr>
                            <w:t>1</w:t>
                          </w:r>
                          <w:r w:rsidR="00361B74">
                            <w:rPr>
                              <w:rFonts w:ascii="游ゴシック" w:eastAsia="游ゴシック" w:hAnsi="游ゴシック"/>
                              <w:sz w:val="12"/>
                              <w:szCs w:val="12"/>
                            </w:rPr>
                            <w:t>83</w:t>
                          </w:r>
                          <w:r w:rsidRPr="004C524D">
                            <w:rPr>
                              <w:rFonts w:ascii="游ゴシック" w:eastAsia="游ゴシック" w:hAnsi="游ゴシック" w:hint="eastAsia"/>
                              <w:color w:val="808080" w:themeColor="background1" w:themeShade="80"/>
                              <w:w w:val="150"/>
                              <w:sz w:val="12"/>
                              <w:szCs w:val="12"/>
                            </w:rPr>
                            <w:t>➡</w:t>
                          </w:r>
                        </w:p>
                      </w:txbxContent>
                    </v:textbox>
                  </v:shape>
                </v:group>
              </v:group>
            </w:pict>
          </mc:Fallback>
        </mc:AlternateContent>
      </w:r>
    </w:p>
    <w:p w14:paraId="73046EC2" w14:textId="5EA366B6" w:rsidR="00CE4546" w:rsidRPr="0076490D" w:rsidRDefault="00CE4546" w:rsidP="0076490D">
      <w:pPr>
        <w:snapToGrid w:val="0"/>
        <w:rPr>
          <w:rFonts w:ascii="游明朝" w:hAnsi="游明朝"/>
          <w:szCs w:val="18"/>
        </w:rPr>
      </w:pPr>
    </w:p>
    <w:p w14:paraId="5B7E878B" w14:textId="3D9B4130" w:rsidR="00CE4546" w:rsidRPr="0076490D" w:rsidRDefault="00CE4546" w:rsidP="0076490D">
      <w:pPr>
        <w:snapToGrid w:val="0"/>
        <w:rPr>
          <w:rFonts w:ascii="游明朝" w:hAnsi="游明朝"/>
          <w:szCs w:val="18"/>
        </w:rPr>
      </w:pPr>
    </w:p>
    <w:p w14:paraId="3865E32E" w14:textId="4FAD74A7" w:rsidR="00CE4546" w:rsidRPr="0076490D" w:rsidRDefault="006C74DB" w:rsidP="0076490D">
      <w:pPr>
        <w:topLinePunct/>
        <w:autoSpaceDE w:val="0"/>
        <w:autoSpaceDN w:val="0"/>
        <w:snapToGrid w:val="0"/>
        <w:rPr>
          <w:rFonts w:ascii="游明朝" w:hAnsi="游明朝"/>
          <w:color w:val="538135" w:themeColor="accent6" w:themeShade="BF"/>
          <w:szCs w:val="18"/>
        </w:rPr>
      </w:pPr>
      <w:r w:rsidRPr="007D57D5">
        <w:rPr>
          <w:rFonts w:ascii="游ゴシック" w:eastAsia="游ゴシック" w:hAnsi="游ゴシック" w:cs="ＭＳ ゴシック" w:hint="eastAsia"/>
          <w:b/>
          <w:bCs/>
          <w:szCs w:val="18"/>
        </w:rPr>
        <w:t>●</w:t>
      </w:r>
      <w:r w:rsidR="00361B74" w:rsidRPr="00361B74">
        <w:rPr>
          <w:rFonts w:ascii="游ゴシック" w:eastAsia="游ゴシック" w:hAnsi="游ゴシック" w:cs="ＭＳ ゴシック" w:hint="eastAsia"/>
          <w:b/>
          <w:bCs/>
          <w:szCs w:val="18"/>
        </w:rPr>
        <w:t>１　経済社会の形成と変容（教科書p.148～151）</w:t>
      </w:r>
    </w:p>
    <w:p w14:paraId="06F592DC" w14:textId="5E80219D" w:rsidR="00BF5D20" w:rsidRPr="0040001F" w:rsidRDefault="00361B74" w:rsidP="0076490D">
      <w:pPr>
        <w:topLinePunct/>
        <w:autoSpaceDE w:val="0"/>
        <w:autoSpaceDN w:val="0"/>
        <w:snapToGrid w:val="0"/>
        <w:rPr>
          <w:rFonts w:ascii="游ゴシック" w:eastAsia="游ゴシック" w:hAnsi="游ゴシック"/>
          <w:b/>
          <w:bCs/>
          <w:color w:val="538135" w:themeColor="accent6" w:themeShade="BF"/>
          <w:szCs w:val="18"/>
        </w:rPr>
      </w:pPr>
      <w:r>
        <w:rPr>
          <w:rFonts w:ascii="Segoe UI" w:eastAsia="游ゴシック" w:hAnsi="Segoe UI" w:cs="Segoe UI"/>
          <w:b/>
          <w:bCs/>
          <w:color w:val="538135" w:themeColor="accent6" w:themeShade="BF"/>
          <w:szCs w:val="18"/>
        </w:rPr>
        <w:t>Check</w:t>
      </w:r>
      <w:r w:rsidR="0040001F" w:rsidRPr="0040001F">
        <w:rPr>
          <w:rFonts w:ascii="游ゴシック" w:eastAsia="游ゴシック" w:hAnsi="游ゴシック" w:hint="eastAsia"/>
          <w:b/>
          <w:bCs/>
          <w:color w:val="538135" w:themeColor="accent6" w:themeShade="BF"/>
          <w:szCs w:val="18"/>
        </w:rPr>
        <w:t>の活用例</w:t>
      </w:r>
    </w:p>
    <w:p w14:paraId="2B0F9AD1" w14:textId="5521230C" w:rsidR="00253367" w:rsidRPr="00253367" w:rsidRDefault="00361B74" w:rsidP="00253367">
      <w:pPr>
        <w:topLinePunct/>
        <w:autoSpaceDE w:val="0"/>
        <w:autoSpaceDN w:val="0"/>
        <w:snapToGrid w:val="0"/>
        <w:ind w:firstLineChars="100" w:firstLine="180"/>
        <w:rPr>
          <w:rFonts w:ascii="游ゴシック" w:eastAsia="游ゴシック" w:hAnsi="游ゴシック"/>
          <w:b/>
          <w:bCs/>
          <w:szCs w:val="18"/>
        </w:rPr>
      </w:pPr>
      <w:r w:rsidRPr="00361B74">
        <w:rPr>
          <w:rFonts w:ascii="游ゴシック" w:eastAsia="游ゴシック" w:hAnsi="游ゴシック" w:hint="eastAsia"/>
          <w:b/>
          <w:bCs/>
          <w:szCs w:val="18"/>
        </w:rPr>
        <w:t>女性が子どもを産むことにともなう機会費用について考えてみよう</w:t>
      </w:r>
      <w:r w:rsidR="00253367" w:rsidRPr="00253367">
        <w:rPr>
          <w:rFonts w:ascii="游ゴシック" w:eastAsia="游ゴシック" w:hAnsi="游ゴシック" w:hint="eastAsia"/>
          <w:b/>
          <w:bCs/>
          <w:szCs w:val="18"/>
        </w:rPr>
        <w:t>。</w:t>
      </w:r>
    </w:p>
    <w:p w14:paraId="061DF1CE" w14:textId="7399AE85" w:rsidR="00BF5D20" w:rsidRPr="0076490D" w:rsidRDefault="00361B74" w:rsidP="00361B74">
      <w:pPr>
        <w:topLinePunct/>
        <w:autoSpaceDE w:val="0"/>
        <w:autoSpaceDN w:val="0"/>
        <w:snapToGrid w:val="0"/>
        <w:ind w:leftChars="100" w:left="180" w:firstLineChars="100" w:firstLine="180"/>
        <w:rPr>
          <w:rFonts w:ascii="游明朝" w:hAnsi="游明朝"/>
          <w:color w:val="538135" w:themeColor="accent6" w:themeShade="BF"/>
          <w:szCs w:val="18"/>
        </w:rPr>
      </w:pPr>
      <w:r w:rsidRPr="00361B74">
        <w:rPr>
          <w:rFonts w:ascii="游明朝" w:hAnsi="游明朝" w:hint="eastAsia"/>
          <w:szCs w:val="18"/>
        </w:rPr>
        <w:t>「女性が子どもを産む」ときの機会費用として考えられるのは，</w:t>
      </w:r>
      <w:r w:rsidR="005A1A00">
        <w:rPr>
          <w:rFonts w:ascii="游明朝" w:hAnsi="游明朝" w:hint="eastAsia"/>
          <w:szCs w:val="18"/>
        </w:rPr>
        <w:t>子ども</w:t>
      </w:r>
      <w:r w:rsidRPr="00361B74">
        <w:rPr>
          <w:rFonts w:ascii="游明朝" w:hAnsi="游明朝" w:hint="eastAsia"/>
          <w:szCs w:val="18"/>
        </w:rPr>
        <w:t>を産まずに働き続けた場合に得られる所得と考えられる。ただし，その場合，産休や育児休業中の所得が100％保障されていれば，機会費用との差額はなくなるので，出産・育児期の所得保障が</w:t>
      </w:r>
      <w:r w:rsidR="005A1A00">
        <w:rPr>
          <w:rFonts w:ascii="游明朝" w:hAnsi="游明朝" w:hint="eastAsia"/>
          <w:szCs w:val="18"/>
        </w:rPr>
        <w:t>おこなわれる</w:t>
      </w:r>
      <w:r w:rsidRPr="00361B74">
        <w:rPr>
          <w:rFonts w:ascii="游明朝" w:hAnsi="游明朝" w:hint="eastAsia"/>
          <w:szCs w:val="18"/>
        </w:rPr>
        <w:t>か否かは少子化対策の重要なポイントになる。</w:t>
      </w:r>
    </w:p>
    <w:p w14:paraId="2921F092" w14:textId="1616EBB5" w:rsidR="00BF5D20" w:rsidRPr="0076490D" w:rsidRDefault="00BF5D20" w:rsidP="0076490D">
      <w:pPr>
        <w:topLinePunct/>
        <w:autoSpaceDE w:val="0"/>
        <w:autoSpaceDN w:val="0"/>
        <w:snapToGrid w:val="0"/>
        <w:rPr>
          <w:rFonts w:ascii="游明朝" w:hAnsi="游明朝"/>
          <w:color w:val="538135" w:themeColor="accent6" w:themeShade="BF"/>
          <w:szCs w:val="18"/>
        </w:rPr>
      </w:pPr>
    </w:p>
    <w:p w14:paraId="72E9A8EC" w14:textId="201B06AF" w:rsidR="00361B74" w:rsidRPr="00253367" w:rsidRDefault="00361B74" w:rsidP="00361B74">
      <w:pPr>
        <w:topLinePunct/>
        <w:autoSpaceDE w:val="0"/>
        <w:autoSpaceDN w:val="0"/>
        <w:snapToGrid w:val="0"/>
        <w:ind w:firstLineChars="100" w:firstLine="180"/>
        <w:rPr>
          <w:rFonts w:ascii="游ゴシック" w:eastAsia="游ゴシック" w:hAnsi="游ゴシック"/>
          <w:b/>
          <w:bCs/>
          <w:szCs w:val="18"/>
        </w:rPr>
      </w:pPr>
      <w:r w:rsidRPr="00361B74">
        <w:rPr>
          <w:rFonts w:ascii="游ゴシック" w:eastAsia="游ゴシック" w:hAnsi="游ゴシック" w:hint="eastAsia"/>
          <w:b/>
          <w:bCs/>
          <w:szCs w:val="18"/>
        </w:rPr>
        <w:t>効率を重視する経済(考え方)か，平等を重視する経済(考え方)かに分類してみよう</w:t>
      </w:r>
      <w:r w:rsidRPr="00253367">
        <w:rPr>
          <w:rFonts w:ascii="游ゴシック" w:eastAsia="游ゴシック" w:hAnsi="游ゴシック" w:hint="eastAsia"/>
          <w:b/>
          <w:bCs/>
          <w:szCs w:val="18"/>
        </w:rPr>
        <w:t>。</w:t>
      </w:r>
    </w:p>
    <w:p w14:paraId="54FABB33" w14:textId="554C1ACE" w:rsidR="00361B74" w:rsidRDefault="00361B74" w:rsidP="00361B74">
      <w:pPr>
        <w:topLinePunct/>
        <w:autoSpaceDE w:val="0"/>
        <w:autoSpaceDN w:val="0"/>
        <w:snapToGrid w:val="0"/>
        <w:ind w:leftChars="100" w:left="180" w:firstLineChars="100" w:firstLine="180"/>
        <w:rPr>
          <w:rFonts w:ascii="游明朝" w:hAnsi="游明朝"/>
          <w:szCs w:val="18"/>
        </w:rPr>
      </w:pPr>
      <w:r w:rsidRPr="00361B74">
        <w:rPr>
          <w:rFonts w:ascii="游明朝" w:hAnsi="游明朝" w:hint="eastAsia"/>
          <w:szCs w:val="18"/>
        </w:rPr>
        <w:t>大別すれば「効率重視」の資本主義と，「平等重視」の社会主義となる。資本主義</w:t>
      </w:r>
      <w:r w:rsidR="005A1A00">
        <w:rPr>
          <w:rFonts w:ascii="游明朝" w:hAnsi="游明朝" w:hint="eastAsia"/>
          <w:szCs w:val="18"/>
        </w:rPr>
        <w:t>のなかでは</w:t>
      </w:r>
      <w:r w:rsidRPr="00361B74">
        <w:rPr>
          <w:rFonts w:ascii="游明朝" w:hAnsi="游明朝" w:hint="eastAsia"/>
          <w:szCs w:val="18"/>
        </w:rPr>
        <w:t>，産業資本主義期の自由放任主義は「効率重視」，資本主義の弊害に対処するために生まれた修正資本主義は「平等重視」の方向に傾き，さらに大きな政府の弊害に対処するために唱えられた新自由主義は「効率重視」を強めた。社会主義の</w:t>
      </w:r>
      <w:r w:rsidR="005A1A00">
        <w:rPr>
          <w:rFonts w:ascii="游明朝" w:hAnsi="游明朝" w:hint="eastAsia"/>
          <w:szCs w:val="18"/>
        </w:rPr>
        <w:t>なか</w:t>
      </w:r>
      <w:r w:rsidRPr="00361B74">
        <w:rPr>
          <w:rFonts w:ascii="游明朝" w:hAnsi="游明朝" w:hint="eastAsia"/>
          <w:szCs w:val="18"/>
        </w:rPr>
        <w:t>では，改革・開放以降の中国の社会主義市場経済は「効率重視」の方向に大きく舵を切った。</w:t>
      </w:r>
    </w:p>
    <w:p w14:paraId="59DB5666" w14:textId="4E8E7DD1" w:rsidR="00361B74" w:rsidRDefault="00361B74" w:rsidP="00361B74">
      <w:pPr>
        <w:topLinePunct/>
        <w:autoSpaceDE w:val="0"/>
        <w:autoSpaceDN w:val="0"/>
        <w:snapToGrid w:val="0"/>
        <w:rPr>
          <w:rFonts w:ascii="游明朝" w:hAnsi="游明朝"/>
          <w:szCs w:val="18"/>
        </w:rPr>
      </w:pPr>
    </w:p>
    <w:p w14:paraId="035E1F74" w14:textId="180772AA" w:rsidR="00361B74" w:rsidRPr="00253367" w:rsidRDefault="00361B74" w:rsidP="00361B74">
      <w:pPr>
        <w:topLinePunct/>
        <w:autoSpaceDE w:val="0"/>
        <w:autoSpaceDN w:val="0"/>
        <w:snapToGrid w:val="0"/>
        <w:ind w:firstLineChars="100" w:firstLine="180"/>
        <w:rPr>
          <w:rFonts w:ascii="游ゴシック" w:eastAsia="游ゴシック" w:hAnsi="游ゴシック"/>
          <w:b/>
          <w:bCs/>
          <w:szCs w:val="18"/>
        </w:rPr>
      </w:pPr>
      <w:r w:rsidRPr="00361B74">
        <w:rPr>
          <w:rFonts w:ascii="游ゴシック" w:eastAsia="游ゴシック" w:hAnsi="游ゴシック" w:hint="eastAsia"/>
          <w:b/>
          <w:bCs/>
          <w:szCs w:val="18"/>
        </w:rPr>
        <w:t>日本は大きな政府なのか，小さな政府なのか，確認しよう</w:t>
      </w:r>
      <w:r w:rsidRPr="00253367">
        <w:rPr>
          <w:rFonts w:ascii="游ゴシック" w:eastAsia="游ゴシック" w:hAnsi="游ゴシック" w:hint="eastAsia"/>
          <w:b/>
          <w:bCs/>
          <w:szCs w:val="18"/>
        </w:rPr>
        <w:t>。</w:t>
      </w:r>
    </w:p>
    <w:p w14:paraId="2C77F658" w14:textId="3B8A0F5D" w:rsidR="00361B74" w:rsidRDefault="00361B74" w:rsidP="00361B74">
      <w:pPr>
        <w:topLinePunct/>
        <w:autoSpaceDE w:val="0"/>
        <w:autoSpaceDN w:val="0"/>
        <w:snapToGrid w:val="0"/>
        <w:ind w:leftChars="100" w:left="180" w:firstLineChars="100" w:firstLine="180"/>
        <w:rPr>
          <w:rFonts w:ascii="游明朝" w:hAnsi="游明朝"/>
          <w:szCs w:val="18"/>
        </w:rPr>
      </w:pPr>
      <w:r w:rsidRPr="00361B74">
        <w:rPr>
          <w:rFonts w:ascii="游明朝" w:hAnsi="游明朝" w:hint="eastAsia"/>
          <w:szCs w:val="18"/>
        </w:rPr>
        <w:t>政府支出の対GDP比，労働力人口に占める公務員の割合のいずれも，日本は他の諸国と比べて低いところに位置しているので，世界の</w:t>
      </w:r>
      <w:r w:rsidR="005A1A00">
        <w:rPr>
          <w:rFonts w:ascii="游明朝" w:hAnsi="游明朝" w:hint="eastAsia"/>
          <w:szCs w:val="18"/>
        </w:rPr>
        <w:t>なか</w:t>
      </w:r>
      <w:r w:rsidRPr="00361B74">
        <w:rPr>
          <w:rFonts w:ascii="游明朝" w:hAnsi="游明朝" w:hint="eastAsia"/>
          <w:szCs w:val="18"/>
        </w:rPr>
        <w:t>でも日本は「小さな政府」であるといえる。</w:t>
      </w:r>
    </w:p>
    <w:p w14:paraId="090F1D2C" w14:textId="23DEDC2E" w:rsidR="00361B74" w:rsidRDefault="00361B74" w:rsidP="00361B74">
      <w:pPr>
        <w:topLinePunct/>
        <w:autoSpaceDE w:val="0"/>
        <w:autoSpaceDN w:val="0"/>
        <w:snapToGrid w:val="0"/>
        <w:rPr>
          <w:rFonts w:ascii="游明朝" w:hAnsi="游明朝"/>
          <w:szCs w:val="18"/>
        </w:rPr>
      </w:pPr>
    </w:p>
    <w:p w14:paraId="37B19738" w14:textId="77777777" w:rsidR="00361B74" w:rsidRPr="0076490D" w:rsidRDefault="00361B74" w:rsidP="00361B74">
      <w:pPr>
        <w:topLinePunct/>
        <w:autoSpaceDE w:val="0"/>
        <w:autoSpaceDN w:val="0"/>
        <w:snapToGrid w:val="0"/>
        <w:rPr>
          <w:rFonts w:ascii="游明朝" w:hAnsi="游明朝"/>
          <w:color w:val="538135" w:themeColor="accent6" w:themeShade="BF"/>
          <w:szCs w:val="18"/>
        </w:rPr>
      </w:pPr>
    </w:p>
    <w:p w14:paraId="38F17458" w14:textId="36354833" w:rsidR="007D57D5" w:rsidRPr="00B772B1" w:rsidRDefault="007D57D5" w:rsidP="007D57D5">
      <w:pPr>
        <w:topLinePunct/>
        <w:autoSpaceDE w:val="0"/>
        <w:autoSpaceDN w:val="0"/>
        <w:snapToGrid w:val="0"/>
        <w:rPr>
          <w:rFonts w:ascii="游明朝" w:hAnsi="游明朝"/>
          <w:color w:val="538135" w:themeColor="accent6" w:themeShade="BF"/>
          <w:sz w:val="20"/>
        </w:rPr>
      </w:pPr>
      <w:r w:rsidRPr="00B772B1">
        <w:rPr>
          <w:rFonts w:ascii="游ゴシック" w:eastAsia="游ゴシック" w:hAnsi="游ゴシック" w:cs="ＭＳ ゴシック" w:hint="eastAsia"/>
          <w:b/>
          <w:bCs/>
          <w:szCs w:val="18"/>
        </w:rPr>
        <w:t>●</w:t>
      </w:r>
      <w:r w:rsidR="00E40B4A" w:rsidRPr="00B772B1">
        <w:rPr>
          <w:rFonts w:ascii="游ゴシック" w:eastAsia="游ゴシック" w:hAnsi="游ゴシック" w:cs="ＭＳ ゴシック" w:hint="eastAsia"/>
          <w:b/>
          <w:bCs/>
          <w:szCs w:val="18"/>
        </w:rPr>
        <w:t>２　市場の</w:t>
      </w:r>
      <w:r w:rsidR="00801F1D">
        <w:rPr>
          <w:rFonts w:ascii="游ゴシック" w:eastAsia="游ゴシック" w:hAnsi="游ゴシック" w:cs="ＭＳ ゴシック" w:hint="eastAsia"/>
          <w:b/>
          <w:bCs/>
          <w:szCs w:val="18"/>
        </w:rPr>
        <w:t>しくみ</w:t>
      </w:r>
      <w:r w:rsidR="00E40B4A" w:rsidRPr="00B772B1">
        <w:rPr>
          <w:rFonts w:ascii="游ゴシック" w:eastAsia="游ゴシック" w:hAnsi="游ゴシック" w:cs="ＭＳ ゴシック" w:hint="eastAsia"/>
          <w:b/>
          <w:bCs/>
          <w:szCs w:val="18"/>
        </w:rPr>
        <w:t>（教科書p.152～157）</w:t>
      </w:r>
    </w:p>
    <w:p w14:paraId="220927F7" w14:textId="35DA0EA6" w:rsidR="007D57D5" w:rsidRPr="0040001F" w:rsidRDefault="007D57D5" w:rsidP="007D57D5">
      <w:pPr>
        <w:topLinePunct/>
        <w:autoSpaceDE w:val="0"/>
        <w:autoSpaceDN w:val="0"/>
        <w:snapToGrid w:val="0"/>
        <w:rPr>
          <w:rFonts w:ascii="游ゴシック" w:eastAsia="游ゴシック" w:hAnsi="游ゴシック"/>
          <w:b/>
          <w:bCs/>
          <w:color w:val="538135" w:themeColor="accent6" w:themeShade="BF"/>
          <w:szCs w:val="18"/>
        </w:rPr>
      </w:pPr>
      <w:r>
        <w:rPr>
          <w:rFonts w:ascii="Segoe UI" w:eastAsia="游ゴシック" w:hAnsi="Segoe UI" w:cs="Segoe UI"/>
          <w:b/>
          <w:bCs/>
          <w:color w:val="538135" w:themeColor="accent6" w:themeShade="BF"/>
          <w:szCs w:val="18"/>
        </w:rPr>
        <w:t>Check</w:t>
      </w:r>
      <w:r w:rsidRPr="0040001F">
        <w:rPr>
          <w:rFonts w:ascii="游ゴシック" w:eastAsia="游ゴシック" w:hAnsi="游ゴシック" w:hint="eastAsia"/>
          <w:b/>
          <w:bCs/>
          <w:color w:val="538135" w:themeColor="accent6" w:themeShade="BF"/>
          <w:szCs w:val="18"/>
        </w:rPr>
        <w:t>の活用例</w:t>
      </w:r>
    </w:p>
    <w:p w14:paraId="6D92A7BF" w14:textId="1A3E5730" w:rsidR="00D205A8" w:rsidRDefault="00D205A8" w:rsidP="00D205A8">
      <w:pPr>
        <w:topLinePunct/>
        <w:autoSpaceDE w:val="0"/>
        <w:autoSpaceDN w:val="0"/>
        <w:snapToGrid w:val="0"/>
        <w:rPr>
          <w:rFonts w:ascii="游明朝" w:hAnsi="游明朝"/>
          <w:szCs w:val="18"/>
        </w:rPr>
      </w:pPr>
      <w:r>
        <w:rPr>
          <w:rFonts w:ascii="游明朝" w:hAnsi="游明朝" w:hint="eastAsia"/>
          <w:szCs w:val="18"/>
        </w:rPr>
        <w:t xml:space="preserve">　</w:t>
      </w:r>
      <w:r w:rsidR="00E40B4A">
        <w:rPr>
          <w:rFonts w:ascii="游ゴシック" w:eastAsia="游ゴシック" w:hAnsi="游ゴシック" w:hint="eastAsia"/>
          <w:b/>
          <w:bCs/>
          <w:szCs w:val="18"/>
        </w:rPr>
        <w:t>企業が提供する財・サービスと政府の提供する財・サービスの違いを確認してみよう。</w:t>
      </w:r>
    </w:p>
    <w:p w14:paraId="2F009BF4" w14:textId="473BD7BF" w:rsidR="00E40B4A" w:rsidRDefault="00E40B4A" w:rsidP="00E40B4A">
      <w:pPr>
        <w:topLinePunct/>
        <w:autoSpaceDE w:val="0"/>
        <w:autoSpaceDN w:val="0"/>
        <w:snapToGrid w:val="0"/>
        <w:ind w:leftChars="100" w:left="180" w:firstLineChars="100" w:firstLine="180"/>
        <w:rPr>
          <w:rFonts w:ascii="游明朝" w:hAnsi="游明朝"/>
          <w:szCs w:val="18"/>
        </w:rPr>
      </w:pPr>
      <w:r w:rsidRPr="00E40B4A">
        <w:rPr>
          <w:rFonts w:ascii="游明朝" w:hAnsi="游明朝" w:hint="eastAsia"/>
          <w:szCs w:val="18"/>
        </w:rPr>
        <w:t>企業や政府から家計が財やサービスを受け取る際の「お金」の動きから，具体的に考えさせる。家計が企業から提供される財やサービスには対価として代金が支払われ，代金には企業が提供する財やサービスの生産費と利潤が含まれ，市場を通して交換がおこなわれる。これに対して，家計が政府から提供される財やサービスには，部分的な負担を求められることはあっても，直接的な対価の支払いが求められることはない。また，道路や公園などのように政府が提供する財やサービスは，同時に複数の人が利用することができるという特徴もある。公共財や公共サービスの基本的な財源は租税であり，企業が市場では提供しにくいものであることに注目させる。</w:t>
      </w:r>
    </w:p>
    <w:p w14:paraId="50F0F2C5" w14:textId="77777777" w:rsidR="00E40B4A" w:rsidRDefault="00E40B4A" w:rsidP="00E40B4A">
      <w:pPr>
        <w:topLinePunct/>
        <w:autoSpaceDE w:val="0"/>
        <w:autoSpaceDN w:val="0"/>
        <w:snapToGrid w:val="0"/>
        <w:rPr>
          <w:rFonts w:ascii="游明朝" w:hAnsi="游明朝"/>
          <w:szCs w:val="18"/>
        </w:rPr>
      </w:pPr>
    </w:p>
    <w:p w14:paraId="5E20EDE6" w14:textId="456BBAFA" w:rsidR="004931B1" w:rsidRPr="0040001F" w:rsidRDefault="004931B1" w:rsidP="00E40B4A">
      <w:pPr>
        <w:topLinePunct/>
        <w:autoSpaceDE w:val="0"/>
        <w:autoSpaceDN w:val="0"/>
        <w:snapToGrid w:val="0"/>
        <w:rPr>
          <w:rFonts w:ascii="游ゴシック" w:eastAsia="游ゴシック" w:hAnsi="游ゴシック"/>
          <w:b/>
          <w:bCs/>
          <w:color w:val="538135" w:themeColor="accent6" w:themeShade="BF"/>
          <w:szCs w:val="18"/>
        </w:rPr>
      </w:pPr>
      <w:r w:rsidRPr="003E04DF">
        <w:rPr>
          <w:rFonts w:ascii="Segoe UI" w:eastAsia="游ゴシック" w:hAnsi="Segoe UI" w:cs="Segoe UI"/>
          <w:b/>
          <w:bCs/>
          <w:color w:val="538135" w:themeColor="accent6" w:themeShade="BF"/>
          <w:szCs w:val="18"/>
        </w:rPr>
        <w:t>TRY</w:t>
      </w:r>
      <w:r w:rsidRPr="0040001F">
        <w:rPr>
          <w:rFonts w:ascii="游ゴシック" w:eastAsia="游ゴシック" w:hAnsi="游ゴシック" w:hint="eastAsia"/>
          <w:b/>
          <w:bCs/>
          <w:color w:val="538135" w:themeColor="accent6" w:themeShade="BF"/>
          <w:szCs w:val="18"/>
        </w:rPr>
        <w:t>の活用例</w:t>
      </w:r>
    </w:p>
    <w:p w14:paraId="305366E0" w14:textId="060E6D7A" w:rsidR="004931B1" w:rsidRPr="00253367" w:rsidRDefault="00E40B4A" w:rsidP="004931B1">
      <w:pPr>
        <w:topLinePunct/>
        <w:autoSpaceDE w:val="0"/>
        <w:autoSpaceDN w:val="0"/>
        <w:snapToGrid w:val="0"/>
        <w:ind w:firstLineChars="100" w:firstLine="180"/>
        <w:rPr>
          <w:rFonts w:ascii="游ゴシック" w:eastAsia="游ゴシック" w:hAnsi="游ゴシック"/>
          <w:b/>
          <w:bCs/>
          <w:szCs w:val="18"/>
        </w:rPr>
      </w:pPr>
      <w:r w:rsidRPr="00E40B4A">
        <w:rPr>
          <w:rFonts w:ascii="游ゴシック" w:eastAsia="游ゴシック" w:hAnsi="游ゴシック" w:hint="eastAsia"/>
          <w:b/>
          <w:bCs/>
          <w:szCs w:val="18"/>
        </w:rPr>
        <w:t>｢市場の寡占化｣｢市場の失敗｣が起こると何が問題なのか，効率と平等のトレードオフを踏まえて，公正や平等の観点(p.42，53)から考えてみよう。</w:t>
      </w:r>
    </w:p>
    <w:p w14:paraId="610C091C" w14:textId="7B765189" w:rsidR="00BF5D20" w:rsidRDefault="00E40B4A" w:rsidP="00E40B4A">
      <w:pPr>
        <w:topLinePunct/>
        <w:autoSpaceDE w:val="0"/>
        <w:autoSpaceDN w:val="0"/>
        <w:snapToGrid w:val="0"/>
        <w:ind w:leftChars="100" w:left="180" w:firstLineChars="100" w:firstLine="180"/>
        <w:rPr>
          <w:rFonts w:ascii="游明朝" w:hAnsi="游明朝"/>
          <w:szCs w:val="18"/>
        </w:rPr>
      </w:pPr>
      <w:r w:rsidRPr="00E40B4A">
        <w:rPr>
          <w:rFonts w:ascii="游明朝" w:hAnsi="游明朝" w:hint="eastAsia"/>
          <w:szCs w:val="18"/>
        </w:rPr>
        <w:t>「市場の寡占化」や「市場の失敗」は，企業が効率を重視した活動を</w:t>
      </w:r>
      <w:r w:rsidR="00C341C1">
        <w:rPr>
          <w:rFonts w:ascii="游明朝" w:hAnsi="游明朝" w:hint="eastAsia"/>
          <w:szCs w:val="18"/>
        </w:rPr>
        <w:t>おこなって</w:t>
      </w:r>
      <w:r w:rsidRPr="00E40B4A">
        <w:rPr>
          <w:rFonts w:ascii="游明朝" w:hAnsi="游明朝" w:hint="eastAsia"/>
          <w:szCs w:val="18"/>
        </w:rPr>
        <w:t>生じたものといえる。その結果，寡占企業には大きな利益がもたらされる一方で，消費者や企業外の社会にはさまざまな不利益がもたらされる。カルテル行為や管理価格，価格の下方硬直性，そして公害や環境破壊などの外部不経済について，それぞれ誰が利益を得て，誰が不利益を被るかという観点から，どのような不公正や不平等が発生するかを，具体的に考えさせる。</w:t>
      </w:r>
    </w:p>
    <w:p w14:paraId="21543B70" w14:textId="3778F308" w:rsidR="00BA0CE6" w:rsidRDefault="00BA0CE6" w:rsidP="00BA0CE6">
      <w:pPr>
        <w:topLinePunct/>
        <w:autoSpaceDE w:val="0"/>
        <w:autoSpaceDN w:val="0"/>
        <w:snapToGrid w:val="0"/>
        <w:rPr>
          <w:rFonts w:ascii="游明朝" w:hAnsi="游明朝"/>
          <w:szCs w:val="18"/>
        </w:rPr>
      </w:pPr>
    </w:p>
    <w:p w14:paraId="4F05BD68" w14:textId="541C8B2E" w:rsidR="00BA0CE6" w:rsidRPr="00B772B1" w:rsidRDefault="00BA0CE6" w:rsidP="00BA0CE6">
      <w:pPr>
        <w:topLinePunct/>
        <w:autoSpaceDE w:val="0"/>
        <w:autoSpaceDN w:val="0"/>
        <w:snapToGrid w:val="0"/>
        <w:rPr>
          <w:rFonts w:ascii="游明朝" w:hAnsi="游明朝"/>
          <w:color w:val="538135" w:themeColor="accent6" w:themeShade="BF"/>
          <w:sz w:val="20"/>
        </w:rPr>
      </w:pPr>
      <w:r w:rsidRPr="00B772B1">
        <w:rPr>
          <w:rFonts w:ascii="游ゴシック" w:eastAsia="游ゴシック" w:hAnsi="游ゴシック" w:cs="ＭＳ ゴシック" w:hint="eastAsia"/>
          <w:b/>
          <w:bCs/>
          <w:szCs w:val="18"/>
        </w:rPr>
        <w:lastRenderedPageBreak/>
        <w:t>●</w:t>
      </w:r>
      <w:r>
        <w:rPr>
          <w:rFonts w:ascii="游ゴシック" w:eastAsia="游ゴシック" w:hAnsi="游ゴシック" w:cs="ＭＳ ゴシック" w:hint="eastAsia"/>
          <w:b/>
          <w:bCs/>
          <w:szCs w:val="18"/>
        </w:rPr>
        <w:t>３</w:t>
      </w:r>
      <w:r w:rsidRPr="00B772B1">
        <w:rPr>
          <w:rFonts w:ascii="游ゴシック" w:eastAsia="游ゴシック" w:hAnsi="游ゴシック" w:cs="ＭＳ ゴシック" w:hint="eastAsia"/>
          <w:b/>
          <w:bCs/>
          <w:szCs w:val="18"/>
        </w:rPr>
        <w:t xml:space="preserve">　</w:t>
      </w:r>
      <w:r>
        <w:rPr>
          <w:rFonts w:ascii="游ゴシック" w:eastAsia="游ゴシック" w:hAnsi="游ゴシック" w:cs="ＭＳ ゴシック" w:hint="eastAsia"/>
          <w:b/>
          <w:bCs/>
          <w:szCs w:val="18"/>
        </w:rPr>
        <w:t>現代</w:t>
      </w:r>
      <w:r w:rsidRPr="00B772B1">
        <w:rPr>
          <w:rFonts w:ascii="游ゴシック" w:eastAsia="游ゴシック" w:hAnsi="游ゴシック" w:cs="ＭＳ ゴシック" w:hint="eastAsia"/>
          <w:b/>
          <w:bCs/>
          <w:szCs w:val="18"/>
        </w:rPr>
        <w:t>の</w:t>
      </w:r>
      <w:r>
        <w:rPr>
          <w:rFonts w:ascii="游ゴシック" w:eastAsia="游ゴシック" w:hAnsi="游ゴシック" w:cs="ＭＳ ゴシック" w:hint="eastAsia"/>
          <w:b/>
          <w:bCs/>
          <w:szCs w:val="18"/>
        </w:rPr>
        <w:t>企業</w:t>
      </w:r>
      <w:r w:rsidRPr="00B772B1">
        <w:rPr>
          <w:rFonts w:ascii="游ゴシック" w:eastAsia="游ゴシック" w:hAnsi="游ゴシック" w:cs="ＭＳ ゴシック" w:hint="eastAsia"/>
          <w:b/>
          <w:bCs/>
          <w:szCs w:val="18"/>
        </w:rPr>
        <w:t>（教科書p.15</w:t>
      </w:r>
      <w:r>
        <w:rPr>
          <w:rFonts w:ascii="游ゴシック" w:eastAsia="游ゴシック" w:hAnsi="游ゴシック" w:cs="ＭＳ ゴシック" w:hint="eastAsia"/>
          <w:b/>
          <w:bCs/>
          <w:szCs w:val="18"/>
        </w:rPr>
        <w:t>8</w:t>
      </w:r>
      <w:r w:rsidRPr="00B772B1">
        <w:rPr>
          <w:rFonts w:ascii="游ゴシック" w:eastAsia="游ゴシック" w:hAnsi="游ゴシック" w:cs="ＭＳ ゴシック" w:hint="eastAsia"/>
          <w:b/>
          <w:bCs/>
          <w:szCs w:val="18"/>
        </w:rPr>
        <w:t>～1</w:t>
      </w:r>
      <w:r>
        <w:rPr>
          <w:rFonts w:ascii="游ゴシック" w:eastAsia="游ゴシック" w:hAnsi="游ゴシック" w:cs="ＭＳ ゴシック" w:hint="eastAsia"/>
          <w:b/>
          <w:bCs/>
          <w:szCs w:val="18"/>
        </w:rPr>
        <w:t>61</w:t>
      </w:r>
      <w:r w:rsidRPr="00B772B1">
        <w:rPr>
          <w:rFonts w:ascii="游ゴシック" w:eastAsia="游ゴシック" w:hAnsi="游ゴシック" w:cs="ＭＳ ゴシック" w:hint="eastAsia"/>
          <w:b/>
          <w:bCs/>
          <w:szCs w:val="18"/>
        </w:rPr>
        <w:t>）</w:t>
      </w:r>
    </w:p>
    <w:p w14:paraId="4368E920" w14:textId="77777777" w:rsidR="00BA0CE6" w:rsidRPr="0040001F" w:rsidRDefault="00BA0CE6" w:rsidP="00BA0CE6">
      <w:pPr>
        <w:topLinePunct/>
        <w:autoSpaceDE w:val="0"/>
        <w:autoSpaceDN w:val="0"/>
        <w:snapToGrid w:val="0"/>
        <w:rPr>
          <w:rFonts w:ascii="游ゴシック" w:eastAsia="游ゴシック" w:hAnsi="游ゴシック"/>
          <w:b/>
          <w:bCs/>
          <w:color w:val="538135" w:themeColor="accent6" w:themeShade="BF"/>
          <w:szCs w:val="18"/>
        </w:rPr>
      </w:pPr>
      <w:r w:rsidRPr="003E04DF">
        <w:rPr>
          <w:rFonts w:ascii="Segoe UI" w:eastAsia="游ゴシック" w:hAnsi="Segoe UI" w:cs="Segoe UI"/>
          <w:b/>
          <w:bCs/>
          <w:color w:val="538135" w:themeColor="accent6" w:themeShade="BF"/>
          <w:szCs w:val="18"/>
        </w:rPr>
        <w:t>TRY</w:t>
      </w:r>
      <w:r w:rsidRPr="0040001F">
        <w:rPr>
          <w:rFonts w:ascii="游ゴシック" w:eastAsia="游ゴシック" w:hAnsi="游ゴシック" w:hint="eastAsia"/>
          <w:b/>
          <w:bCs/>
          <w:color w:val="538135" w:themeColor="accent6" w:themeShade="BF"/>
          <w:szCs w:val="18"/>
        </w:rPr>
        <w:t>の活用例</w:t>
      </w:r>
    </w:p>
    <w:p w14:paraId="2AC43EC7" w14:textId="154CF28D" w:rsidR="00BA0CE6" w:rsidRPr="00253367" w:rsidRDefault="00BE468E" w:rsidP="00BA0CE6">
      <w:pPr>
        <w:topLinePunct/>
        <w:autoSpaceDE w:val="0"/>
        <w:autoSpaceDN w:val="0"/>
        <w:snapToGrid w:val="0"/>
        <w:ind w:firstLineChars="100" w:firstLine="180"/>
        <w:rPr>
          <w:rFonts w:ascii="游ゴシック" w:eastAsia="游ゴシック" w:hAnsi="游ゴシック"/>
          <w:b/>
          <w:bCs/>
          <w:szCs w:val="18"/>
        </w:rPr>
      </w:pPr>
      <w:r w:rsidRPr="00BE468E">
        <w:rPr>
          <w:rFonts w:ascii="游ゴシック" w:eastAsia="游ゴシック" w:hAnsi="游ゴシック" w:hint="eastAsia"/>
          <w:b/>
          <w:bCs/>
          <w:szCs w:val="18"/>
        </w:rPr>
        <w:t>企業の経営は株主の利益を優先すべきか，従業員などの利害関係者の利益を優先すべきか，それぞれの立場に立って話しあってみよう</w:t>
      </w:r>
      <w:r>
        <w:rPr>
          <w:rFonts w:ascii="游ゴシック" w:eastAsia="游ゴシック" w:hAnsi="游ゴシック" w:hint="eastAsia"/>
          <w:b/>
          <w:bCs/>
          <w:szCs w:val="18"/>
        </w:rPr>
        <w:t>。</w:t>
      </w:r>
    </w:p>
    <w:p w14:paraId="45A91D14" w14:textId="42A27DE6" w:rsidR="00BA0CE6" w:rsidRDefault="00E934C3" w:rsidP="00BA0CE6">
      <w:pPr>
        <w:topLinePunct/>
        <w:autoSpaceDE w:val="0"/>
        <w:autoSpaceDN w:val="0"/>
        <w:snapToGrid w:val="0"/>
        <w:ind w:leftChars="100" w:left="180" w:firstLineChars="100" w:firstLine="180"/>
        <w:rPr>
          <w:rFonts w:ascii="游明朝" w:hAnsi="游明朝"/>
          <w:szCs w:val="18"/>
        </w:rPr>
      </w:pPr>
      <w:r w:rsidRPr="00E934C3">
        <w:rPr>
          <w:rFonts w:ascii="游明朝" w:hAnsi="游明朝" w:hint="eastAsia"/>
          <w:szCs w:val="18"/>
        </w:rPr>
        <w:t>数名でグループを</w:t>
      </w:r>
      <w:r w:rsidR="008A6FB5">
        <w:rPr>
          <w:rFonts w:ascii="游明朝" w:hAnsi="游明朝" w:hint="eastAsia"/>
          <w:szCs w:val="18"/>
        </w:rPr>
        <w:t>作り</w:t>
      </w:r>
      <w:r w:rsidRPr="00E934C3">
        <w:rPr>
          <w:rFonts w:ascii="游明朝" w:hAnsi="游明朝" w:hint="eastAsia"/>
          <w:szCs w:val="18"/>
        </w:rPr>
        <w:t>，それぞれが経営者，株主，従業員などの立場に立って，企業に何を望むかを考え，意見を交換してみる。株主は配当や株価の上昇を望むであろうし，従業員は賃金の上昇を期待するはずである。経営者としては，利潤を出さなければ企業が存続できないので，何よりも資本を提供してくれる株主の利益を優先すべきだとする意見もあれば，従業員への待遇が悪いと優秀な社員が集まらず，企業の収益も上がらないので，まず従業員の賃金を上げるべきだとする意見も出てくるであろう。また，従業員は消費者でもあるので，賃金を上げれば，景気がよくなり，会社に勢いをつけることができる，という考え方もある。「売り手よし，買い手よし，世間よし」の近江商人の経営は可能か，持続可能な企業経営とは何か，企業の成長のためには何が必要か，などをさまざまな観点から考察させたい。</w:t>
      </w:r>
    </w:p>
    <w:p w14:paraId="4FDB5AC7" w14:textId="77777777" w:rsidR="00BA0CE6" w:rsidRPr="0076490D" w:rsidRDefault="00BA0CE6" w:rsidP="00BA0CE6">
      <w:pPr>
        <w:topLinePunct/>
        <w:autoSpaceDE w:val="0"/>
        <w:autoSpaceDN w:val="0"/>
        <w:snapToGrid w:val="0"/>
        <w:rPr>
          <w:rFonts w:ascii="游明朝" w:hAnsi="游明朝"/>
          <w:color w:val="538135" w:themeColor="accent6" w:themeShade="BF"/>
          <w:szCs w:val="18"/>
        </w:rPr>
      </w:pPr>
    </w:p>
    <w:p w14:paraId="32F364A4" w14:textId="0B8E8143" w:rsidR="00BF5D20" w:rsidRPr="0076490D" w:rsidRDefault="00BF5D20" w:rsidP="0076490D">
      <w:pPr>
        <w:topLinePunct/>
        <w:autoSpaceDE w:val="0"/>
        <w:autoSpaceDN w:val="0"/>
        <w:snapToGrid w:val="0"/>
        <w:rPr>
          <w:rFonts w:ascii="游明朝" w:hAnsi="游明朝"/>
          <w:szCs w:val="18"/>
        </w:rPr>
      </w:pPr>
    </w:p>
    <w:p w14:paraId="7501A2E8" w14:textId="3FCEADAA" w:rsidR="00BF5D20" w:rsidRPr="00E934C3" w:rsidRDefault="007C4DDF" w:rsidP="0076490D">
      <w:pPr>
        <w:topLinePunct/>
        <w:autoSpaceDE w:val="0"/>
        <w:autoSpaceDN w:val="0"/>
        <w:snapToGrid w:val="0"/>
        <w:rPr>
          <w:rFonts w:ascii="游明朝" w:hAnsi="游明朝"/>
          <w:sz w:val="20"/>
        </w:rPr>
      </w:pPr>
      <w:r w:rsidRPr="00E934C3">
        <w:rPr>
          <w:rFonts w:ascii="游ゴシック" w:eastAsia="游ゴシック" w:hAnsi="游ゴシック" w:cs="ＭＳ ゴシック" w:hint="eastAsia"/>
          <w:b/>
          <w:bCs/>
          <w:szCs w:val="18"/>
        </w:rPr>
        <w:t>●</w:t>
      </w:r>
      <w:r w:rsidR="00E40B4A" w:rsidRPr="00E934C3">
        <w:rPr>
          <w:rFonts w:ascii="游ゴシック" w:eastAsia="游ゴシック" w:hAnsi="游ゴシック" w:cs="ＭＳ ゴシック" w:hint="eastAsia"/>
          <w:b/>
          <w:bCs/>
          <w:szCs w:val="18"/>
        </w:rPr>
        <w:t>４　経済成長と景気変動（教科書p.1</w:t>
      </w:r>
      <w:r w:rsidR="006F5307" w:rsidRPr="00E934C3">
        <w:rPr>
          <w:rFonts w:ascii="游ゴシック" w:eastAsia="游ゴシック" w:hAnsi="游ゴシック" w:cs="ＭＳ ゴシック"/>
          <w:b/>
          <w:bCs/>
          <w:szCs w:val="18"/>
        </w:rPr>
        <w:t>63</w:t>
      </w:r>
      <w:r w:rsidR="00E40B4A" w:rsidRPr="00E934C3">
        <w:rPr>
          <w:rFonts w:ascii="游ゴシック" w:eastAsia="游ゴシック" w:hAnsi="游ゴシック" w:cs="ＭＳ ゴシック" w:hint="eastAsia"/>
          <w:b/>
          <w:bCs/>
          <w:szCs w:val="18"/>
        </w:rPr>
        <w:t>～16</w:t>
      </w:r>
      <w:r w:rsidR="006F5307" w:rsidRPr="00E934C3">
        <w:rPr>
          <w:rFonts w:ascii="游ゴシック" w:eastAsia="游ゴシック" w:hAnsi="游ゴシック" w:cs="ＭＳ ゴシック"/>
          <w:b/>
          <w:bCs/>
          <w:szCs w:val="18"/>
        </w:rPr>
        <w:t>7</w:t>
      </w:r>
      <w:r w:rsidR="00E40B4A" w:rsidRPr="00E934C3">
        <w:rPr>
          <w:rFonts w:ascii="游ゴシック" w:eastAsia="游ゴシック" w:hAnsi="游ゴシック" w:cs="ＭＳ ゴシック" w:hint="eastAsia"/>
          <w:b/>
          <w:bCs/>
          <w:szCs w:val="18"/>
        </w:rPr>
        <w:t>）</w:t>
      </w:r>
    </w:p>
    <w:p w14:paraId="27FE2B17" w14:textId="77777777" w:rsidR="006F5307" w:rsidRPr="0040001F" w:rsidRDefault="006F5307" w:rsidP="006F5307">
      <w:pPr>
        <w:topLinePunct/>
        <w:autoSpaceDE w:val="0"/>
        <w:autoSpaceDN w:val="0"/>
        <w:snapToGrid w:val="0"/>
        <w:rPr>
          <w:rFonts w:ascii="游ゴシック" w:eastAsia="游ゴシック" w:hAnsi="游ゴシック"/>
          <w:b/>
          <w:bCs/>
          <w:color w:val="538135" w:themeColor="accent6" w:themeShade="BF"/>
          <w:szCs w:val="18"/>
        </w:rPr>
      </w:pPr>
      <w:r>
        <w:rPr>
          <w:rFonts w:ascii="Segoe UI" w:eastAsia="游ゴシック" w:hAnsi="Segoe UI" w:cs="Segoe UI"/>
          <w:b/>
          <w:bCs/>
          <w:color w:val="538135" w:themeColor="accent6" w:themeShade="BF"/>
          <w:szCs w:val="18"/>
        </w:rPr>
        <w:t>Check</w:t>
      </w:r>
      <w:r w:rsidRPr="0040001F">
        <w:rPr>
          <w:rFonts w:ascii="游ゴシック" w:eastAsia="游ゴシック" w:hAnsi="游ゴシック" w:hint="eastAsia"/>
          <w:b/>
          <w:bCs/>
          <w:color w:val="538135" w:themeColor="accent6" w:themeShade="BF"/>
          <w:szCs w:val="18"/>
        </w:rPr>
        <w:t>の活用例</w:t>
      </w:r>
    </w:p>
    <w:p w14:paraId="53B162E7" w14:textId="572C2696" w:rsidR="006F5307" w:rsidRPr="009D4A19" w:rsidRDefault="006F5307" w:rsidP="006F5307">
      <w:pPr>
        <w:topLinePunct/>
        <w:autoSpaceDE w:val="0"/>
        <w:autoSpaceDN w:val="0"/>
        <w:snapToGrid w:val="0"/>
        <w:rPr>
          <w:rFonts w:ascii="游ゴシック" w:eastAsia="游ゴシック" w:hAnsi="游ゴシック"/>
          <w:b/>
          <w:bCs/>
          <w:szCs w:val="18"/>
        </w:rPr>
      </w:pPr>
      <w:r>
        <w:rPr>
          <w:rFonts w:ascii="游明朝" w:hAnsi="游明朝" w:hint="eastAsia"/>
          <w:szCs w:val="18"/>
        </w:rPr>
        <w:t xml:space="preserve">　</w:t>
      </w:r>
      <w:r>
        <w:rPr>
          <w:rFonts w:ascii="游ゴシック" w:eastAsia="游ゴシック" w:hAnsi="游ゴシック" w:hint="eastAsia"/>
          <w:b/>
          <w:bCs/>
          <w:szCs w:val="18"/>
        </w:rPr>
        <w:t>G</w:t>
      </w:r>
      <w:r>
        <w:rPr>
          <w:rFonts w:ascii="游ゴシック" w:eastAsia="游ゴシック" w:hAnsi="游ゴシック"/>
          <w:b/>
          <w:bCs/>
          <w:szCs w:val="18"/>
        </w:rPr>
        <w:t>DE</w:t>
      </w:r>
      <w:r>
        <w:rPr>
          <w:rFonts w:ascii="游ゴシック" w:eastAsia="游ゴシック" w:hAnsi="游ゴシック" w:hint="eastAsia"/>
          <w:b/>
          <w:bCs/>
          <w:szCs w:val="18"/>
        </w:rPr>
        <w:t>で最も大きい割合を占めるものは何か，確認してみよう。</w:t>
      </w:r>
    </w:p>
    <w:p w14:paraId="7DCFD79D" w14:textId="10BD0F14" w:rsidR="006F5307" w:rsidRDefault="006F5307" w:rsidP="00C12297">
      <w:pPr>
        <w:topLinePunct/>
        <w:autoSpaceDE w:val="0"/>
        <w:autoSpaceDN w:val="0"/>
        <w:snapToGrid w:val="0"/>
        <w:ind w:leftChars="100" w:left="180" w:firstLineChars="100" w:firstLine="180"/>
        <w:rPr>
          <w:rFonts w:ascii="游明朝" w:hAnsi="游明朝"/>
          <w:szCs w:val="18"/>
        </w:rPr>
      </w:pPr>
      <w:r w:rsidRPr="006F5307">
        <w:rPr>
          <w:rFonts w:ascii="游明朝" w:hAnsi="游明朝" w:hint="eastAsia"/>
          <w:szCs w:val="18"/>
        </w:rPr>
        <w:t>グラフから明らかなように「民間消費」が最も大きな割合を占める。近年，日本経済の停滞が課題となっているが，経済成長のカギは民間消費が増大すること，つまり家計の財やサービスへの支出が増えるような政策がとれるかどうかがポイントであることがわかる。</w:t>
      </w:r>
    </w:p>
    <w:p w14:paraId="3FF82B49" w14:textId="77777777" w:rsidR="006F5307" w:rsidRDefault="006F5307" w:rsidP="00C12297">
      <w:pPr>
        <w:topLinePunct/>
        <w:autoSpaceDE w:val="0"/>
        <w:autoSpaceDN w:val="0"/>
        <w:snapToGrid w:val="0"/>
        <w:rPr>
          <w:rFonts w:ascii="Segoe UI" w:eastAsia="游ゴシック" w:hAnsi="Segoe UI" w:cs="Segoe UI"/>
          <w:b/>
          <w:bCs/>
          <w:color w:val="538135" w:themeColor="accent6" w:themeShade="BF"/>
          <w:szCs w:val="18"/>
        </w:rPr>
      </w:pPr>
    </w:p>
    <w:p w14:paraId="2B6B3E44" w14:textId="5CAD4228" w:rsidR="00C33747" w:rsidRPr="0040001F" w:rsidRDefault="00C33747" w:rsidP="00C33747">
      <w:pPr>
        <w:topLinePunct/>
        <w:autoSpaceDE w:val="0"/>
        <w:autoSpaceDN w:val="0"/>
        <w:snapToGrid w:val="0"/>
        <w:rPr>
          <w:rFonts w:ascii="游ゴシック" w:eastAsia="游ゴシック" w:hAnsi="游ゴシック"/>
          <w:b/>
          <w:bCs/>
          <w:color w:val="538135" w:themeColor="accent6" w:themeShade="BF"/>
          <w:szCs w:val="18"/>
        </w:rPr>
      </w:pPr>
      <w:r w:rsidRPr="003E04DF">
        <w:rPr>
          <w:rFonts w:ascii="Segoe UI" w:eastAsia="游ゴシック" w:hAnsi="Segoe UI" w:cs="Segoe UI"/>
          <w:b/>
          <w:bCs/>
          <w:color w:val="538135" w:themeColor="accent6" w:themeShade="BF"/>
          <w:szCs w:val="18"/>
        </w:rPr>
        <w:t>TRY</w:t>
      </w:r>
      <w:r w:rsidRPr="0040001F">
        <w:rPr>
          <w:rFonts w:ascii="游ゴシック" w:eastAsia="游ゴシック" w:hAnsi="游ゴシック" w:hint="eastAsia"/>
          <w:b/>
          <w:bCs/>
          <w:color w:val="538135" w:themeColor="accent6" w:themeShade="BF"/>
          <w:szCs w:val="18"/>
        </w:rPr>
        <w:t>の活用例</w:t>
      </w:r>
    </w:p>
    <w:p w14:paraId="4C4087C6" w14:textId="40B9083A" w:rsidR="00C33747" w:rsidRDefault="006F5307" w:rsidP="00C33747">
      <w:pPr>
        <w:topLinePunct/>
        <w:autoSpaceDE w:val="0"/>
        <w:autoSpaceDN w:val="0"/>
        <w:snapToGrid w:val="0"/>
        <w:ind w:firstLineChars="100" w:firstLine="180"/>
        <w:rPr>
          <w:rFonts w:ascii="游ゴシック" w:eastAsia="游ゴシック" w:hAnsi="游ゴシック"/>
          <w:b/>
          <w:bCs/>
          <w:szCs w:val="18"/>
        </w:rPr>
      </w:pPr>
      <w:r>
        <w:rPr>
          <w:rFonts w:ascii="游ゴシック" w:eastAsia="游ゴシック" w:hAnsi="游ゴシック" w:hint="eastAsia"/>
          <w:b/>
          <w:bCs/>
          <w:szCs w:val="18"/>
        </w:rPr>
        <w:t>・国の豊かさを示す指標には，どのような要素が含まれるとよいだろうか。</w:t>
      </w:r>
    </w:p>
    <w:p w14:paraId="157D7490" w14:textId="6A06B1C3" w:rsidR="006F5307" w:rsidRPr="00253367" w:rsidRDefault="006F5307" w:rsidP="00C33747">
      <w:pPr>
        <w:topLinePunct/>
        <w:autoSpaceDE w:val="0"/>
        <w:autoSpaceDN w:val="0"/>
        <w:snapToGrid w:val="0"/>
        <w:ind w:firstLineChars="100" w:firstLine="180"/>
        <w:rPr>
          <w:rFonts w:ascii="游ゴシック" w:eastAsia="游ゴシック" w:hAnsi="游ゴシック"/>
          <w:b/>
          <w:bCs/>
          <w:szCs w:val="18"/>
        </w:rPr>
      </w:pPr>
      <w:r>
        <w:rPr>
          <w:rFonts w:ascii="游ゴシック" w:eastAsia="游ゴシック" w:hAnsi="游ゴシック" w:hint="eastAsia"/>
          <w:b/>
          <w:bCs/>
          <w:szCs w:val="18"/>
        </w:rPr>
        <w:t>・国の豊かさを数値化する意味とは何か，考えてみよう。</w:t>
      </w:r>
    </w:p>
    <w:p w14:paraId="1F351635" w14:textId="20447B03" w:rsidR="00E40B4A" w:rsidRDefault="006F5307" w:rsidP="00C12297">
      <w:pPr>
        <w:topLinePunct/>
        <w:autoSpaceDE w:val="0"/>
        <w:autoSpaceDN w:val="0"/>
        <w:snapToGrid w:val="0"/>
        <w:ind w:leftChars="100" w:left="180" w:firstLineChars="100" w:firstLine="180"/>
        <w:rPr>
          <w:rFonts w:ascii="游明朝" w:hAnsi="游明朝"/>
          <w:szCs w:val="18"/>
        </w:rPr>
      </w:pPr>
      <w:r w:rsidRPr="006F5307">
        <w:rPr>
          <w:rFonts w:ascii="游明朝" w:hAnsi="游明朝" w:hint="eastAsia"/>
          <w:szCs w:val="18"/>
        </w:rPr>
        <w:t>GDPなどの指標では，市場で取り引きされる財・サービスしか数値化されず，国民の生活実感と必ずしも一致しないことが問題であった。そのためNNWやGNHなどでは，家事労働，環境保全，文化保存などを「豊かさ指標」に入れようとした。平和な社会，出産や育児への保障，教育環境の充実度，労働時間，人権の保障など，さまざまな「豊かさ指標」が考えられる。「豊かさ指標」が数値化されれば，他国との比較や過去との比較が客観的にできるので，政策目標とすることができる。しかし，市場に現れないものを数値化することには困難がともなう。</w:t>
      </w:r>
    </w:p>
    <w:p w14:paraId="1F87BF1D" w14:textId="7E2FE167" w:rsidR="00E40B4A" w:rsidRDefault="00E40B4A" w:rsidP="00C12297">
      <w:pPr>
        <w:topLinePunct/>
        <w:autoSpaceDE w:val="0"/>
        <w:autoSpaceDN w:val="0"/>
        <w:snapToGrid w:val="0"/>
        <w:rPr>
          <w:rFonts w:ascii="游明朝" w:hAnsi="游明朝"/>
          <w:szCs w:val="18"/>
        </w:rPr>
      </w:pPr>
    </w:p>
    <w:p w14:paraId="02B6E66C" w14:textId="63296155" w:rsidR="006F5307" w:rsidRPr="00253367" w:rsidRDefault="006F5307" w:rsidP="00C12297">
      <w:pPr>
        <w:topLinePunct/>
        <w:autoSpaceDE w:val="0"/>
        <w:autoSpaceDN w:val="0"/>
        <w:snapToGrid w:val="0"/>
        <w:ind w:firstLineChars="100" w:firstLine="180"/>
        <w:rPr>
          <w:rFonts w:ascii="游ゴシック" w:eastAsia="游ゴシック" w:hAnsi="游ゴシック"/>
          <w:b/>
          <w:bCs/>
          <w:szCs w:val="18"/>
        </w:rPr>
      </w:pPr>
      <w:r>
        <w:rPr>
          <w:rFonts w:ascii="游ゴシック" w:eastAsia="游ゴシック" w:hAnsi="游ゴシック" w:hint="eastAsia"/>
          <w:b/>
          <w:bCs/>
          <w:szCs w:val="18"/>
        </w:rPr>
        <w:t>景気変動の波をできるだけ小さく抑えるためには，どのような政策が必要だろうか，p</w:t>
      </w:r>
      <w:r>
        <w:rPr>
          <w:rFonts w:ascii="游ゴシック" w:eastAsia="游ゴシック" w:hAnsi="游ゴシック"/>
          <w:b/>
          <w:bCs/>
          <w:szCs w:val="18"/>
        </w:rPr>
        <w:t>.149</w:t>
      </w:r>
      <w:r>
        <w:rPr>
          <w:rFonts w:ascii="游ゴシック" w:eastAsia="游ゴシック" w:hAnsi="游ゴシック" w:hint="eastAsia"/>
          <w:b/>
          <w:bCs/>
          <w:szCs w:val="18"/>
        </w:rPr>
        <w:t>～1</w:t>
      </w:r>
      <w:r>
        <w:rPr>
          <w:rFonts w:ascii="游ゴシック" w:eastAsia="游ゴシック" w:hAnsi="游ゴシック"/>
          <w:b/>
          <w:bCs/>
          <w:szCs w:val="18"/>
        </w:rPr>
        <w:t>50</w:t>
      </w:r>
      <w:r>
        <w:rPr>
          <w:rFonts w:ascii="游ゴシック" w:eastAsia="游ゴシック" w:hAnsi="游ゴシック" w:hint="eastAsia"/>
          <w:b/>
          <w:bCs/>
          <w:szCs w:val="18"/>
        </w:rPr>
        <w:t>を振り返って考えてみよう。</w:t>
      </w:r>
    </w:p>
    <w:p w14:paraId="07922F79" w14:textId="215CB345" w:rsidR="006F5307" w:rsidRDefault="006F5307" w:rsidP="00C12297">
      <w:pPr>
        <w:topLinePunct/>
        <w:autoSpaceDE w:val="0"/>
        <w:autoSpaceDN w:val="0"/>
        <w:snapToGrid w:val="0"/>
        <w:ind w:leftChars="100" w:left="180" w:firstLineChars="100" w:firstLine="180"/>
        <w:rPr>
          <w:rFonts w:ascii="游明朝" w:hAnsi="游明朝"/>
          <w:szCs w:val="18"/>
        </w:rPr>
      </w:pPr>
      <w:r w:rsidRPr="006F5307">
        <w:rPr>
          <w:rFonts w:ascii="游明朝" w:hAnsi="游明朝" w:hint="eastAsia"/>
          <w:szCs w:val="18"/>
        </w:rPr>
        <w:t>ケインズが考えたように，不況期には政府が積極的に経済に介入して，需要を創出し，雇用を安定させる。また，好況期には景気が過熱しないように，政府支出を抑制する。</w:t>
      </w:r>
    </w:p>
    <w:p w14:paraId="7C562D0A" w14:textId="110AC3B5" w:rsidR="006F5307" w:rsidRDefault="006F5307" w:rsidP="00C12297">
      <w:pPr>
        <w:topLinePunct/>
        <w:autoSpaceDE w:val="0"/>
        <w:autoSpaceDN w:val="0"/>
        <w:snapToGrid w:val="0"/>
        <w:rPr>
          <w:rFonts w:ascii="游明朝" w:hAnsi="游明朝"/>
          <w:szCs w:val="18"/>
        </w:rPr>
      </w:pPr>
    </w:p>
    <w:p w14:paraId="6502BFF5" w14:textId="3F6B4285" w:rsidR="006F5307" w:rsidRDefault="006F5307" w:rsidP="00C12297">
      <w:pPr>
        <w:topLinePunct/>
        <w:autoSpaceDE w:val="0"/>
        <w:autoSpaceDN w:val="0"/>
        <w:snapToGrid w:val="0"/>
        <w:rPr>
          <w:rFonts w:ascii="游明朝" w:hAnsi="游明朝"/>
          <w:szCs w:val="18"/>
        </w:rPr>
      </w:pPr>
    </w:p>
    <w:p w14:paraId="10E3BA5E" w14:textId="0B7157A8" w:rsidR="00466977" w:rsidRDefault="00466977" w:rsidP="00C12297">
      <w:pPr>
        <w:topLinePunct/>
        <w:autoSpaceDE w:val="0"/>
        <w:autoSpaceDN w:val="0"/>
        <w:snapToGrid w:val="0"/>
        <w:rPr>
          <w:rFonts w:ascii="游明朝" w:hAnsi="游明朝"/>
          <w:szCs w:val="18"/>
        </w:rPr>
      </w:pPr>
    </w:p>
    <w:p w14:paraId="163C81A7" w14:textId="2A46B14C" w:rsidR="00466977" w:rsidRDefault="00466977" w:rsidP="00C12297">
      <w:pPr>
        <w:topLinePunct/>
        <w:autoSpaceDE w:val="0"/>
        <w:autoSpaceDN w:val="0"/>
        <w:snapToGrid w:val="0"/>
        <w:rPr>
          <w:rFonts w:ascii="游明朝" w:hAnsi="游明朝"/>
          <w:szCs w:val="18"/>
        </w:rPr>
      </w:pPr>
    </w:p>
    <w:p w14:paraId="750C6AFA" w14:textId="7870E5C3" w:rsidR="00466977" w:rsidRDefault="00466977" w:rsidP="00C12297">
      <w:pPr>
        <w:topLinePunct/>
        <w:autoSpaceDE w:val="0"/>
        <w:autoSpaceDN w:val="0"/>
        <w:snapToGrid w:val="0"/>
        <w:rPr>
          <w:rFonts w:ascii="游明朝" w:hAnsi="游明朝"/>
          <w:szCs w:val="18"/>
        </w:rPr>
      </w:pPr>
    </w:p>
    <w:p w14:paraId="1E2B6E3E" w14:textId="0330F281" w:rsidR="00466977" w:rsidRDefault="00466977" w:rsidP="00C12297">
      <w:pPr>
        <w:topLinePunct/>
        <w:autoSpaceDE w:val="0"/>
        <w:autoSpaceDN w:val="0"/>
        <w:snapToGrid w:val="0"/>
        <w:rPr>
          <w:rFonts w:ascii="游明朝" w:hAnsi="游明朝"/>
          <w:szCs w:val="18"/>
        </w:rPr>
      </w:pPr>
    </w:p>
    <w:p w14:paraId="07D3F843" w14:textId="69E7DB10" w:rsidR="00466977" w:rsidRDefault="00466977" w:rsidP="00C12297">
      <w:pPr>
        <w:topLinePunct/>
        <w:autoSpaceDE w:val="0"/>
        <w:autoSpaceDN w:val="0"/>
        <w:snapToGrid w:val="0"/>
        <w:rPr>
          <w:rFonts w:ascii="游明朝" w:hAnsi="游明朝"/>
          <w:szCs w:val="18"/>
        </w:rPr>
      </w:pPr>
    </w:p>
    <w:p w14:paraId="7ECBD289" w14:textId="77777777" w:rsidR="00466977" w:rsidRDefault="00466977" w:rsidP="00C12297">
      <w:pPr>
        <w:topLinePunct/>
        <w:autoSpaceDE w:val="0"/>
        <w:autoSpaceDN w:val="0"/>
        <w:snapToGrid w:val="0"/>
        <w:rPr>
          <w:rFonts w:ascii="游明朝" w:hAnsi="游明朝"/>
          <w:szCs w:val="18"/>
        </w:rPr>
      </w:pPr>
    </w:p>
    <w:p w14:paraId="3E0F24FA" w14:textId="7FA330EE" w:rsidR="001D68EB" w:rsidRPr="00C12297" w:rsidRDefault="001D68EB" w:rsidP="00E40B4A">
      <w:pPr>
        <w:topLinePunct/>
        <w:autoSpaceDE w:val="0"/>
        <w:autoSpaceDN w:val="0"/>
        <w:snapToGrid w:val="0"/>
        <w:rPr>
          <w:rFonts w:ascii="游明朝" w:hAnsi="游明朝"/>
          <w:color w:val="538135" w:themeColor="accent6" w:themeShade="BF"/>
          <w:sz w:val="20"/>
        </w:rPr>
      </w:pPr>
      <w:r w:rsidRPr="00C12297">
        <w:rPr>
          <w:rFonts w:ascii="游ゴシック" w:eastAsia="游ゴシック" w:hAnsi="游ゴシック" w:cs="ＭＳ ゴシック" w:hint="eastAsia"/>
          <w:b/>
          <w:bCs/>
          <w:szCs w:val="18"/>
        </w:rPr>
        <w:lastRenderedPageBreak/>
        <w:t>●</w:t>
      </w:r>
      <w:r w:rsidR="00FD5777" w:rsidRPr="00C12297">
        <w:rPr>
          <w:rFonts w:ascii="游ゴシック" w:eastAsia="游ゴシック" w:hAnsi="游ゴシック" w:cs="ＭＳ ゴシック" w:hint="eastAsia"/>
          <w:b/>
          <w:bCs/>
          <w:szCs w:val="18"/>
        </w:rPr>
        <w:t>５　金融機関の働き（教科書p.168～17</w:t>
      </w:r>
      <w:r w:rsidR="009F3536" w:rsidRPr="00C12297">
        <w:rPr>
          <w:rFonts w:ascii="游ゴシック" w:eastAsia="游ゴシック" w:hAnsi="游ゴシック" w:cs="ＭＳ ゴシック"/>
          <w:b/>
          <w:bCs/>
          <w:szCs w:val="18"/>
        </w:rPr>
        <w:t>4</w:t>
      </w:r>
      <w:r w:rsidR="00FD5777" w:rsidRPr="00C12297">
        <w:rPr>
          <w:rFonts w:ascii="游ゴシック" w:eastAsia="游ゴシック" w:hAnsi="游ゴシック" w:cs="ＭＳ ゴシック" w:hint="eastAsia"/>
          <w:b/>
          <w:bCs/>
          <w:szCs w:val="18"/>
        </w:rPr>
        <w:t>）</w:t>
      </w:r>
    </w:p>
    <w:p w14:paraId="660A65C8" w14:textId="77777777" w:rsidR="001D68EB" w:rsidRPr="0040001F" w:rsidRDefault="001D68EB" w:rsidP="001D68EB">
      <w:pPr>
        <w:topLinePunct/>
        <w:autoSpaceDE w:val="0"/>
        <w:autoSpaceDN w:val="0"/>
        <w:snapToGrid w:val="0"/>
        <w:rPr>
          <w:rFonts w:ascii="游ゴシック" w:eastAsia="游ゴシック" w:hAnsi="游ゴシック"/>
          <w:b/>
          <w:bCs/>
          <w:color w:val="538135" w:themeColor="accent6" w:themeShade="BF"/>
          <w:szCs w:val="18"/>
        </w:rPr>
      </w:pPr>
      <w:r>
        <w:rPr>
          <w:rFonts w:ascii="Segoe UI" w:eastAsia="游ゴシック" w:hAnsi="Segoe UI" w:cs="Segoe UI"/>
          <w:b/>
          <w:bCs/>
          <w:color w:val="538135" w:themeColor="accent6" w:themeShade="BF"/>
          <w:szCs w:val="18"/>
        </w:rPr>
        <w:t>Check</w:t>
      </w:r>
      <w:r w:rsidRPr="0040001F">
        <w:rPr>
          <w:rFonts w:ascii="游ゴシック" w:eastAsia="游ゴシック" w:hAnsi="游ゴシック" w:hint="eastAsia"/>
          <w:b/>
          <w:bCs/>
          <w:color w:val="538135" w:themeColor="accent6" w:themeShade="BF"/>
          <w:szCs w:val="18"/>
        </w:rPr>
        <w:t>の活用例</w:t>
      </w:r>
    </w:p>
    <w:p w14:paraId="511140B5" w14:textId="77AD19FC" w:rsidR="009D4A19" w:rsidRPr="009D4A19" w:rsidRDefault="001D68EB" w:rsidP="001D68EB">
      <w:pPr>
        <w:topLinePunct/>
        <w:autoSpaceDE w:val="0"/>
        <w:autoSpaceDN w:val="0"/>
        <w:snapToGrid w:val="0"/>
        <w:rPr>
          <w:rFonts w:ascii="游ゴシック" w:eastAsia="游ゴシック" w:hAnsi="游ゴシック"/>
          <w:b/>
          <w:bCs/>
          <w:szCs w:val="18"/>
        </w:rPr>
      </w:pPr>
      <w:r>
        <w:rPr>
          <w:rFonts w:ascii="游明朝" w:hAnsi="游明朝" w:hint="eastAsia"/>
          <w:szCs w:val="18"/>
        </w:rPr>
        <w:t xml:space="preserve">　</w:t>
      </w:r>
      <w:r w:rsidR="00FD5777" w:rsidRPr="00FD5777">
        <w:rPr>
          <w:rFonts w:ascii="游ゴシック" w:eastAsia="游ゴシック" w:hAnsi="游ゴシック" w:cs="ＭＳ 明朝" w:hint="eastAsia"/>
          <w:b/>
          <w:bCs/>
          <w:kern w:val="0"/>
          <w:sz w:val="16"/>
          <w:szCs w:val="16"/>
        </w:rPr>
        <w:t>M</w:t>
      </w:r>
      <w:r w:rsidR="00FD5777" w:rsidRPr="00FD5777">
        <w:rPr>
          <w:rFonts w:ascii="游ゴシック" w:eastAsia="游ゴシック" w:hAnsi="游ゴシック" w:cs="ＭＳ 明朝"/>
          <w:b/>
          <w:bCs/>
          <w:kern w:val="0"/>
          <w:sz w:val="16"/>
          <w:szCs w:val="16"/>
          <w:vertAlign w:val="subscript"/>
        </w:rPr>
        <w:t>1</w:t>
      </w:r>
      <w:r w:rsidR="00FD5777" w:rsidRPr="00FD5777">
        <w:rPr>
          <w:rFonts w:ascii="游ゴシック" w:eastAsia="游ゴシック" w:hAnsi="游ゴシック" w:hint="eastAsia"/>
          <w:b/>
          <w:bCs/>
          <w:szCs w:val="18"/>
        </w:rPr>
        <w:t>のうち，割合が少ない通貨は何だろうか。</w:t>
      </w:r>
    </w:p>
    <w:p w14:paraId="577AE04F" w14:textId="77777777" w:rsidR="00FD5777" w:rsidRDefault="00FD5777" w:rsidP="00466977">
      <w:pPr>
        <w:topLinePunct/>
        <w:autoSpaceDE w:val="0"/>
        <w:autoSpaceDN w:val="0"/>
        <w:snapToGrid w:val="0"/>
        <w:ind w:leftChars="100" w:left="180" w:firstLineChars="100" w:firstLine="180"/>
        <w:rPr>
          <w:rFonts w:ascii="游明朝" w:hAnsi="游明朝"/>
          <w:szCs w:val="18"/>
        </w:rPr>
      </w:pPr>
      <w:r w:rsidRPr="00FD5777">
        <w:rPr>
          <w:rFonts w:ascii="游明朝" w:hAnsi="游明朝" w:hint="eastAsia"/>
          <w:szCs w:val="18"/>
        </w:rPr>
        <w:t>M1＝現金通貨＋預金通貨であるが，グラフから明らかなように預金通貨が占める割合が圧倒的であり，現金通貨の割合は極めて少ない。高校生にとっては「お金」＝「現金」のイメージがまだ強いが，現実の社会ではどのようなものを「お金」として使われているか，例をあげて考えさせる。それらのものが共通に持つ役割（価値尺度，交換手段，支払手段，価値貯蔵手段）は何かを考えていくことが，金融活動を学ぶ導入になる。</w:t>
      </w:r>
    </w:p>
    <w:p w14:paraId="27F02351" w14:textId="15BB1FA8" w:rsidR="00FD5777" w:rsidRDefault="00FD5777" w:rsidP="00466977">
      <w:pPr>
        <w:topLinePunct/>
        <w:autoSpaceDE w:val="0"/>
        <w:autoSpaceDN w:val="0"/>
        <w:snapToGrid w:val="0"/>
        <w:rPr>
          <w:rFonts w:ascii="游明朝" w:hAnsi="游明朝"/>
          <w:szCs w:val="18"/>
        </w:rPr>
      </w:pPr>
    </w:p>
    <w:p w14:paraId="2C0EEE89" w14:textId="632C890A" w:rsidR="00FD5777" w:rsidRPr="009D4A19" w:rsidRDefault="00FD5777" w:rsidP="00FD5777">
      <w:pPr>
        <w:topLinePunct/>
        <w:autoSpaceDE w:val="0"/>
        <w:autoSpaceDN w:val="0"/>
        <w:snapToGrid w:val="0"/>
        <w:rPr>
          <w:rFonts w:ascii="游ゴシック" w:eastAsia="游ゴシック" w:hAnsi="游ゴシック"/>
          <w:b/>
          <w:bCs/>
          <w:szCs w:val="18"/>
        </w:rPr>
      </w:pPr>
      <w:r>
        <w:rPr>
          <w:rFonts w:ascii="游明朝" w:hAnsi="游明朝" w:hint="eastAsia"/>
          <w:szCs w:val="18"/>
        </w:rPr>
        <w:t xml:space="preserve">　</w:t>
      </w:r>
      <w:r w:rsidRPr="00FD5777">
        <w:rPr>
          <w:rFonts w:ascii="游ゴシック" w:eastAsia="游ゴシック" w:hAnsi="游ゴシック" w:hint="eastAsia"/>
          <w:b/>
          <w:bCs/>
          <w:szCs w:val="18"/>
        </w:rPr>
        <w:t>景気の変動と金利の変化に着目してみよう。</w:t>
      </w:r>
    </w:p>
    <w:p w14:paraId="677122D4" w14:textId="77777777" w:rsidR="00FD5777" w:rsidRDefault="00FD5777" w:rsidP="00466977">
      <w:pPr>
        <w:topLinePunct/>
        <w:autoSpaceDE w:val="0"/>
        <w:autoSpaceDN w:val="0"/>
        <w:snapToGrid w:val="0"/>
        <w:ind w:leftChars="100" w:left="180" w:firstLineChars="100" w:firstLine="180"/>
        <w:rPr>
          <w:rFonts w:ascii="游明朝" w:hAnsi="游明朝"/>
          <w:szCs w:val="18"/>
        </w:rPr>
      </w:pPr>
      <w:r w:rsidRPr="00FD5777">
        <w:rPr>
          <w:rFonts w:ascii="游明朝" w:hAnsi="游明朝" w:hint="eastAsia"/>
          <w:szCs w:val="18"/>
        </w:rPr>
        <w:t>1985年のプラザ合意や90年代のバブル崩壊期には，景気後退に対応して公定歩合が引き下げられ，民間銀行の金利も低下したことがわかる。また，80年代後半のバブル経済の時期には，景気の過熱を防ぐために公定歩合が引き上げられ，民間銀行の金利も上昇した。しかし，97年以降は超低金利政策が続いて金利の動きがほとんどなくなり，量的緩和政策が採られるようになったことが読み取れる。</w:t>
      </w:r>
    </w:p>
    <w:p w14:paraId="3B8D18A1" w14:textId="36DF14C5" w:rsidR="00FD5777" w:rsidRDefault="00FD5777" w:rsidP="00466977">
      <w:pPr>
        <w:topLinePunct/>
        <w:autoSpaceDE w:val="0"/>
        <w:autoSpaceDN w:val="0"/>
        <w:snapToGrid w:val="0"/>
        <w:rPr>
          <w:rFonts w:ascii="游明朝" w:hAnsi="游明朝"/>
          <w:szCs w:val="18"/>
        </w:rPr>
      </w:pPr>
    </w:p>
    <w:p w14:paraId="5161E8C3" w14:textId="37552534" w:rsidR="00FD5777" w:rsidRPr="009D4A19" w:rsidRDefault="00FD5777" w:rsidP="00FD5777">
      <w:pPr>
        <w:topLinePunct/>
        <w:autoSpaceDE w:val="0"/>
        <w:autoSpaceDN w:val="0"/>
        <w:snapToGrid w:val="0"/>
        <w:rPr>
          <w:rFonts w:ascii="游ゴシック" w:eastAsia="游ゴシック" w:hAnsi="游ゴシック"/>
          <w:b/>
          <w:bCs/>
          <w:szCs w:val="18"/>
        </w:rPr>
      </w:pPr>
      <w:r>
        <w:rPr>
          <w:rFonts w:ascii="游明朝" w:hAnsi="游明朝" w:hint="eastAsia"/>
          <w:szCs w:val="18"/>
        </w:rPr>
        <w:t xml:space="preserve">　</w:t>
      </w:r>
      <w:r w:rsidRPr="00FD5777">
        <w:rPr>
          <w:rFonts w:ascii="游ゴシック" w:eastAsia="游ゴシック" w:hAnsi="游ゴシック" w:hint="eastAsia"/>
          <w:b/>
          <w:bCs/>
          <w:szCs w:val="18"/>
        </w:rPr>
        <w:t>各国の金利が2008年以降に下がっている理由をp.</w:t>
      </w:r>
      <w:r w:rsidR="00466977">
        <w:rPr>
          <w:rFonts w:ascii="游ゴシック" w:eastAsia="游ゴシック" w:hAnsi="游ゴシック" w:hint="eastAsia"/>
          <w:b/>
          <w:bCs/>
          <w:szCs w:val="18"/>
        </w:rPr>
        <w:t>273～274</w:t>
      </w:r>
      <w:r w:rsidRPr="00FD5777">
        <w:rPr>
          <w:rFonts w:ascii="游ゴシック" w:eastAsia="游ゴシック" w:hAnsi="游ゴシック" w:hint="eastAsia"/>
          <w:b/>
          <w:bCs/>
          <w:szCs w:val="18"/>
        </w:rPr>
        <w:t>を</w:t>
      </w:r>
      <w:r w:rsidR="00466977">
        <w:rPr>
          <w:rFonts w:ascii="游ゴシック" w:eastAsia="游ゴシック" w:hAnsi="游ゴシック" w:hint="eastAsia"/>
          <w:b/>
          <w:bCs/>
          <w:szCs w:val="18"/>
        </w:rPr>
        <w:t>見て</w:t>
      </w:r>
      <w:r w:rsidRPr="00FD5777">
        <w:rPr>
          <w:rFonts w:ascii="游ゴシック" w:eastAsia="游ゴシック" w:hAnsi="游ゴシック" w:hint="eastAsia"/>
          <w:b/>
          <w:bCs/>
          <w:szCs w:val="18"/>
        </w:rPr>
        <w:t>考えてみよう。また，日本のきわだった特徴を確認しよう。</w:t>
      </w:r>
    </w:p>
    <w:p w14:paraId="0CAB1832" w14:textId="3726147A" w:rsidR="00FD5777" w:rsidRDefault="00FD5777" w:rsidP="00466977">
      <w:pPr>
        <w:topLinePunct/>
        <w:autoSpaceDE w:val="0"/>
        <w:autoSpaceDN w:val="0"/>
        <w:snapToGrid w:val="0"/>
        <w:ind w:leftChars="100" w:left="180" w:firstLineChars="100" w:firstLine="180"/>
        <w:rPr>
          <w:rFonts w:ascii="游明朝" w:hAnsi="游明朝"/>
          <w:szCs w:val="18"/>
        </w:rPr>
      </w:pPr>
      <w:r w:rsidRPr="00FD5777">
        <w:rPr>
          <w:rFonts w:ascii="游明朝" w:hAnsi="游明朝" w:hint="eastAsia"/>
          <w:szCs w:val="18"/>
        </w:rPr>
        <w:t>欧米諸国は2008年の金融危機（いわゆるリーマン・ショック）を契機に，政策金利を大きく引き下げた。一方，それ以前から超低金利政策（ゼロ金利政策）が続いていた日本は，金利変動の余地がなかったため，政策金利の大きな変化は見られなかった。</w:t>
      </w:r>
    </w:p>
    <w:p w14:paraId="1B2E117F" w14:textId="77777777" w:rsidR="00FD5777" w:rsidRDefault="00FD5777" w:rsidP="00466977">
      <w:pPr>
        <w:topLinePunct/>
        <w:autoSpaceDE w:val="0"/>
        <w:autoSpaceDN w:val="0"/>
        <w:snapToGrid w:val="0"/>
        <w:rPr>
          <w:rFonts w:ascii="游明朝" w:hAnsi="游明朝"/>
          <w:szCs w:val="18"/>
        </w:rPr>
      </w:pPr>
    </w:p>
    <w:p w14:paraId="34C7D747" w14:textId="77777777" w:rsidR="002F6E31" w:rsidRDefault="00FD5777" w:rsidP="002F6E31">
      <w:pPr>
        <w:topLinePunct/>
        <w:autoSpaceDE w:val="0"/>
        <w:autoSpaceDN w:val="0"/>
        <w:snapToGrid w:val="0"/>
        <w:rPr>
          <w:rFonts w:ascii="游ゴシック" w:eastAsia="游ゴシック" w:hAnsi="游ゴシック"/>
          <w:b/>
          <w:bCs/>
          <w:color w:val="538135" w:themeColor="accent6" w:themeShade="BF"/>
          <w:szCs w:val="18"/>
        </w:rPr>
      </w:pPr>
      <w:r>
        <w:rPr>
          <w:rFonts w:ascii="Segoe UI" w:eastAsia="游ゴシック" w:hAnsi="Segoe UI" w:cs="Segoe UI"/>
          <w:b/>
          <w:bCs/>
          <w:color w:val="538135" w:themeColor="accent6" w:themeShade="BF"/>
          <w:szCs w:val="18"/>
        </w:rPr>
        <w:t>O</w:t>
      </w:r>
      <w:r w:rsidR="004D3B13">
        <w:rPr>
          <w:rFonts w:ascii="Segoe UI" w:eastAsia="游ゴシック" w:hAnsi="Segoe UI" w:cs="Segoe UI"/>
          <w:b/>
          <w:bCs/>
          <w:color w:val="538135" w:themeColor="accent6" w:themeShade="BF"/>
          <w:szCs w:val="18"/>
        </w:rPr>
        <w:t>pinion</w:t>
      </w:r>
      <w:r w:rsidR="001D68EB" w:rsidRPr="0040001F">
        <w:rPr>
          <w:rFonts w:ascii="游ゴシック" w:eastAsia="游ゴシック" w:hAnsi="游ゴシック" w:hint="eastAsia"/>
          <w:b/>
          <w:bCs/>
          <w:color w:val="538135" w:themeColor="accent6" w:themeShade="BF"/>
          <w:szCs w:val="18"/>
        </w:rPr>
        <w:t>の活用例</w:t>
      </w:r>
    </w:p>
    <w:p w14:paraId="719FACD5" w14:textId="2BA35A31" w:rsidR="004D3B13" w:rsidRPr="002F6E31" w:rsidRDefault="004D3B13" w:rsidP="002F6E31">
      <w:pPr>
        <w:topLinePunct/>
        <w:autoSpaceDE w:val="0"/>
        <w:autoSpaceDN w:val="0"/>
        <w:snapToGrid w:val="0"/>
        <w:ind w:firstLineChars="100" w:firstLine="180"/>
        <w:rPr>
          <w:rFonts w:ascii="游ゴシック" w:eastAsia="游ゴシック" w:hAnsi="游ゴシック"/>
          <w:b/>
          <w:bCs/>
          <w:color w:val="538135" w:themeColor="accent6" w:themeShade="BF"/>
          <w:szCs w:val="18"/>
        </w:rPr>
      </w:pPr>
      <w:r w:rsidRPr="004D3B13">
        <w:rPr>
          <w:rFonts w:ascii="游ゴシック" w:eastAsia="游ゴシック" w:hAnsi="游ゴシック" w:hint="eastAsia"/>
          <w:b/>
          <w:bCs/>
          <w:szCs w:val="18"/>
        </w:rPr>
        <w:t>非伝統的金融政策を実施することは日本経済にどのような影響を与えるか，考えてみよう。</w:t>
      </w:r>
    </w:p>
    <w:p w14:paraId="15B65FF1" w14:textId="77777777" w:rsidR="004D3B13" w:rsidRPr="004D3B13" w:rsidRDefault="004D3B13" w:rsidP="004D3B13">
      <w:pPr>
        <w:topLinePunct/>
        <w:autoSpaceDE w:val="0"/>
        <w:autoSpaceDN w:val="0"/>
        <w:snapToGrid w:val="0"/>
        <w:ind w:leftChars="100" w:left="180" w:firstLineChars="100" w:firstLine="180"/>
        <w:rPr>
          <w:rFonts w:ascii="游ゴシック" w:eastAsia="游ゴシック" w:hAnsi="游ゴシック"/>
          <w:b/>
          <w:bCs/>
          <w:szCs w:val="18"/>
        </w:rPr>
      </w:pPr>
      <w:r w:rsidRPr="004D3B13">
        <w:rPr>
          <w:rFonts w:ascii="游ゴシック" w:eastAsia="游ゴシック" w:hAnsi="游ゴシック" w:hint="eastAsia"/>
          <w:b/>
          <w:bCs/>
          <w:color w:val="0070C0"/>
          <w:szCs w:val="18"/>
        </w:rPr>
        <w:t>●</w:t>
      </w:r>
      <w:r w:rsidRPr="004D3B13">
        <w:rPr>
          <w:rFonts w:ascii="游ゴシック" w:eastAsia="游ゴシック" w:hAnsi="游ゴシック" w:hint="eastAsia"/>
          <w:b/>
          <w:bCs/>
          <w:szCs w:val="18"/>
        </w:rPr>
        <w:t>金融機関の貸し出しを促進し，民間部門の消費や投資を促進する可能性がある。</w:t>
      </w:r>
    </w:p>
    <w:p w14:paraId="6FBD71A5" w14:textId="77777777" w:rsidR="004D3B13" w:rsidRDefault="004D3B13" w:rsidP="004D3B13">
      <w:pPr>
        <w:topLinePunct/>
        <w:autoSpaceDE w:val="0"/>
        <w:autoSpaceDN w:val="0"/>
        <w:snapToGrid w:val="0"/>
        <w:ind w:leftChars="100" w:left="180" w:firstLineChars="100" w:firstLine="180"/>
        <w:rPr>
          <w:rFonts w:ascii="游ゴシック" w:eastAsia="游ゴシック" w:hAnsi="游ゴシック"/>
          <w:b/>
          <w:bCs/>
          <w:szCs w:val="18"/>
        </w:rPr>
      </w:pPr>
      <w:r w:rsidRPr="004D3B13">
        <w:rPr>
          <w:rFonts w:ascii="游ゴシック" w:eastAsia="游ゴシック" w:hAnsi="游ゴシック" w:hint="eastAsia"/>
          <w:b/>
          <w:bCs/>
          <w:color w:val="FF0000"/>
          <w:szCs w:val="18"/>
        </w:rPr>
        <w:t>●</w:t>
      </w:r>
      <w:r w:rsidRPr="004D3B13">
        <w:rPr>
          <w:rFonts w:ascii="游ゴシック" w:eastAsia="游ゴシック" w:hAnsi="游ゴシック" w:hint="eastAsia"/>
          <w:b/>
          <w:bCs/>
          <w:szCs w:val="18"/>
        </w:rPr>
        <w:t>極端な低金利を招き，高齢者の資産運用や金融機関の経営を圧迫する可能性がある。</w:t>
      </w:r>
    </w:p>
    <w:p w14:paraId="7C69A478" w14:textId="0D648BBA" w:rsidR="004D3B13" w:rsidRPr="004D3B13" w:rsidRDefault="004D3B13" w:rsidP="00D05079">
      <w:pPr>
        <w:topLinePunct/>
        <w:autoSpaceDE w:val="0"/>
        <w:autoSpaceDN w:val="0"/>
        <w:snapToGrid w:val="0"/>
        <w:ind w:leftChars="200" w:left="540" w:hangingChars="100" w:hanging="180"/>
        <w:rPr>
          <w:rFonts w:ascii="游明朝" w:hAnsi="游明朝"/>
          <w:szCs w:val="18"/>
        </w:rPr>
      </w:pPr>
      <w:r w:rsidRPr="004D3B13">
        <w:rPr>
          <w:rFonts w:ascii="游明朝" w:hAnsi="游明朝" w:hint="eastAsia"/>
          <w:szCs w:val="18"/>
        </w:rPr>
        <w:t>・大量の資金供給にもかかわらず，民間消費や設備投資は伸びず，余剰資金が株式市場に流入して，実体経済からかけ離れた株価上昇をもたらした。</w:t>
      </w:r>
    </w:p>
    <w:p w14:paraId="7BD78DB2" w14:textId="6CEA7A03" w:rsidR="004D3B13" w:rsidRPr="004D3B13" w:rsidRDefault="004D3B13" w:rsidP="00D05079">
      <w:pPr>
        <w:topLinePunct/>
        <w:autoSpaceDE w:val="0"/>
        <w:autoSpaceDN w:val="0"/>
        <w:snapToGrid w:val="0"/>
        <w:ind w:leftChars="200" w:left="540" w:hangingChars="100" w:hanging="180"/>
        <w:rPr>
          <w:rFonts w:ascii="游明朝" w:hAnsi="游明朝"/>
          <w:szCs w:val="18"/>
        </w:rPr>
      </w:pPr>
      <w:r w:rsidRPr="004D3B13">
        <w:rPr>
          <w:rFonts w:ascii="游明朝" w:hAnsi="游明朝" w:hint="eastAsia"/>
          <w:szCs w:val="18"/>
        </w:rPr>
        <w:t>・日経平均株価が</w:t>
      </w:r>
      <w:r w:rsidR="008A6FB5">
        <w:rPr>
          <w:rFonts w:ascii="游明朝" w:hAnsi="游明朝" w:hint="eastAsia"/>
          <w:szCs w:val="18"/>
        </w:rPr>
        <w:t>下降</w:t>
      </w:r>
      <w:r w:rsidRPr="004D3B13">
        <w:rPr>
          <w:rFonts w:ascii="游明朝" w:hAnsi="游明朝" w:hint="eastAsia"/>
          <w:szCs w:val="18"/>
        </w:rPr>
        <w:t>する局面で，日銀のETF（上場投資信託）購入による資金供給が</w:t>
      </w:r>
      <w:r w:rsidR="008A6FB5">
        <w:rPr>
          <w:rFonts w:ascii="游明朝" w:hAnsi="游明朝" w:hint="eastAsia"/>
          <w:szCs w:val="18"/>
        </w:rPr>
        <w:t>おこなわれて</w:t>
      </w:r>
      <w:r w:rsidRPr="004D3B13">
        <w:rPr>
          <w:rFonts w:ascii="游明朝" w:hAnsi="游明朝" w:hint="eastAsia"/>
          <w:szCs w:val="18"/>
        </w:rPr>
        <w:t>きたため，株価が下支えされる「官製相場」が生まれた。</w:t>
      </w:r>
    </w:p>
    <w:p w14:paraId="1763DA7B" w14:textId="77777777" w:rsidR="004D3B13" w:rsidRPr="004D3B13" w:rsidRDefault="004D3B13" w:rsidP="00D05079">
      <w:pPr>
        <w:topLinePunct/>
        <w:autoSpaceDE w:val="0"/>
        <w:autoSpaceDN w:val="0"/>
        <w:snapToGrid w:val="0"/>
        <w:ind w:firstLineChars="200" w:firstLine="360"/>
        <w:rPr>
          <w:rFonts w:ascii="游明朝" w:hAnsi="游明朝"/>
          <w:szCs w:val="18"/>
        </w:rPr>
      </w:pPr>
      <w:r w:rsidRPr="004D3B13">
        <w:rPr>
          <w:rFonts w:ascii="游明朝" w:hAnsi="游明朝" w:hint="eastAsia"/>
          <w:szCs w:val="18"/>
        </w:rPr>
        <w:t>・ETF購入の結果，日銀が多くの民間企業で事実上の大株主になる状況が生まれた。</w:t>
      </w:r>
    </w:p>
    <w:p w14:paraId="6CC15B0D" w14:textId="77777777" w:rsidR="004D3B13" w:rsidRPr="004D3B13" w:rsidRDefault="004D3B13" w:rsidP="00D05079">
      <w:pPr>
        <w:topLinePunct/>
        <w:autoSpaceDE w:val="0"/>
        <w:autoSpaceDN w:val="0"/>
        <w:snapToGrid w:val="0"/>
        <w:ind w:firstLineChars="200" w:firstLine="360"/>
        <w:rPr>
          <w:rFonts w:ascii="游明朝" w:hAnsi="游明朝"/>
          <w:szCs w:val="18"/>
        </w:rPr>
      </w:pPr>
      <w:r w:rsidRPr="004D3B13">
        <w:rPr>
          <w:rFonts w:ascii="游明朝" w:hAnsi="游明朝" w:hint="eastAsia"/>
          <w:szCs w:val="18"/>
        </w:rPr>
        <w:t>・日銀が国債を大量に購入する結果となり，財政の国債依存度がさらに高まった。</w:t>
      </w:r>
    </w:p>
    <w:p w14:paraId="74D12128" w14:textId="1F23BFD9" w:rsidR="00BF5D20" w:rsidRDefault="004D3B13" w:rsidP="00D05079">
      <w:pPr>
        <w:topLinePunct/>
        <w:autoSpaceDE w:val="0"/>
        <w:autoSpaceDN w:val="0"/>
        <w:snapToGrid w:val="0"/>
        <w:ind w:firstLineChars="200" w:firstLine="360"/>
        <w:rPr>
          <w:rFonts w:ascii="游明朝" w:hAnsi="游明朝"/>
          <w:szCs w:val="18"/>
        </w:rPr>
      </w:pPr>
      <w:r w:rsidRPr="004D3B13">
        <w:rPr>
          <w:rFonts w:ascii="游明朝" w:hAnsi="游明朝" w:hint="eastAsia"/>
          <w:szCs w:val="18"/>
        </w:rPr>
        <w:t>・極端な低金利状態が継続して，厳しい経営状況に追い込まれる金融機関</w:t>
      </w:r>
      <w:r w:rsidR="008A6FB5">
        <w:rPr>
          <w:rFonts w:ascii="游明朝" w:hAnsi="游明朝" w:hint="eastAsia"/>
          <w:szCs w:val="18"/>
        </w:rPr>
        <w:t>もあらわれた</w:t>
      </w:r>
      <w:r w:rsidRPr="004D3B13">
        <w:rPr>
          <w:rFonts w:ascii="游明朝" w:hAnsi="游明朝" w:hint="eastAsia"/>
          <w:szCs w:val="18"/>
        </w:rPr>
        <w:t>。</w:t>
      </w:r>
    </w:p>
    <w:p w14:paraId="05F36E66" w14:textId="5740ECE0" w:rsidR="00FC4A86" w:rsidRDefault="00FC4A86" w:rsidP="00D05079">
      <w:pPr>
        <w:topLinePunct/>
        <w:autoSpaceDE w:val="0"/>
        <w:autoSpaceDN w:val="0"/>
        <w:snapToGrid w:val="0"/>
        <w:rPr>
          <w:rFonts w:ascii="游明朝" w:hAnsi="游明朝"/>
          <w:szCs w:val="18"/>
        </w:rPr>
      </w:pPr>
    </w:p>
    <w:p w14:paraId="70CC3526" w14:textId="77777777" w:rsidR="00724DEA" w:rsidRPr="001D68EB" w:rsidRDefault="00724DEA" w:rsidP="00D05079">
      <w:pPr>
        <w:topLinePunct/>
        <w:autoSpaceDE w:val="0"/>
        <w:autoSpaceDN w:val="0"/>
        <w:snapToGrid w:val="0"/>
        <w:rPr>
          <w:rFonts w:ascii="游明朝" w:hAnsi="游明朝"/>
          <w:szCs w:val="18"/>
        </w:rPr>
      </w:pPr>
    </w:p>
    <w:p w14:paraId="62178205" w14:textId="1FFE0AFD" w:rsidR="008E3C2B" w:rsidRPr="00B91BB5" w:rsidRDefault="008E3C2B" w:rsidP="008E3C2B">
      <w:pPr>
        <w:topLinePunct/>
        <w:autoSpaceDE w:val="0"/>
        <w:autoSpaceDN w:val="0"/>
        <w:snapToGrid w:val="0"/>
        <w:rPr>
          <w:rFonts w:ascii="游明朝" w:hAnsi="游明朝"/>
          <w:color w:val="538135" w:themeColor="accent6" w:themeShade="BF"/>
          <w:sz w:val="20"/>
        </w:rPr>
      </w:pPr>
      <w:r w:rsidRPr="00B91BB5">
        <w:rPr>
          <w:rFonts w:ascii="游ゴシック" w:eastAsia="游ゴシック" w:hAnsi="游ゴシック" w:cs="ＭＳ ゴシック" w:hint="eastAsia"/>
          <w:b/>
          <w:bCs/>
          <w:szCs w:val="18"/>
        </w:rPr>
        <w:t>●</w:t>
      </w:r>
      <w:r w:rsidR="004D3B13" w:rsidRPr="00B91BB5">
        <w:rPr>
          <w:rFonts w:ascii="游ゴシック" w:eastAsia="游ゴシック" w:hAnsi="游ゴシック" w:cs="ＭＳ ゴシック" w:hint="eastAsia"/>
          <w:b/>
          <w:bCs/>
          <w:szCs w:val="18"/>
        </w:rPr>
        <w:t>Seminar　キャッシュレス社会に向けて</w:t>
      </w:r>
      <w:r w:rsidRPr="00B91BB5">
        <w:rPr>
          <w:rFonts w:ascii="游ゴシック" w:eastAsia="游ゴシック" w:hAnsi="游ゴシック" w:cs="ＭＳ ゴシック" w:hint="eastAsia"/>
          <w:b/>
          <w:bCs/>
          <w:szCs w:val="18"/>
        </w:rPr>
        <w:t>（教科書p.1</w:t>
      </w:r>
      <w:r w:rsidR="004D3B13" w:rsidRPr="00B91BB5">
        <w:rPr>
          <w:rFonts w:ascii="游ゴシック" w:eastAsia="游ゴシック" w:hAnsi="游ゴシック" w:cs="ＭＳ ゴシック"/>
          <w:b/>
          <w:bCs/>
          <w:szCs w:val="18"/>
        </w:rPr>
        <w:t>75</w:t>
      </w:r>
      <w:r w:rsidRPr="00B91BB5">
        <w:rPr>
          <w:rFonts w:ascii="游ゴシック" w:eastAsia="游ゴシック" w:hAnsi="游ゴシック" w:cs="ＭＳ ゴシック" w:hint="eastAsia"/>
          <w:b/>
          <w:bCs/>
          <w:szCs w:val="18"/>
        </w:rPr>
        <w:t>）</w:t>
      </w:r>
    </w:p>
    <w:p w14:paraId="3AE3DA2D" w14:textId="1ACF1E43" w:rsidR="008E3C2B" w:rsidRPr="0040001F" w:rsidRDefault="004D3B13" w:rsidP="008E3C2B">
      <w:pPr>
        <w:topLinePunct/>
        <w:autoSpaceDE w:val="0"/>
        <w:autoSpaceDN w:val="0"/>
        <w:snapToGrid w:val="0"/>
        <w:rPr>
          <w:rFonts w:ascii="游ゴシック" w:eastAsia="游ゴシック" w:hAnsi="游ゴシック"/>
          <w:b/>
          <w:bCs/>
          <w:color w:val="538135" w:themeColor="accent6" w:themeShade="BF"/>
          <w:szCs w:val="18"/>
        </w:rPr>
      </w:pPr>
      <w:r w:rsidRPr="003E04DF">
        <w:rPr>
          <w:rFonts w:ascii="Segoe UI" w:eastAsia="游ゴシック" w:hAnsi="Segoe UI" w:cs="Segoe UI"/>
          <w:b/>
          <w:bCs/>
          <w:color w:val="538135" w:themeColor="accent6" w:themeShade="BF"/>
          <w:szCs w:val="18"/>
        </w:rPr>
        <w:t>TRY</w:t>
      </w:r>
      <w:r w:rsidR="008E3C2B" w:rsidRPr="0040001F">
        <w:rPr>
          <w:rFonts w:ascii="游ゴシック" w:eastAsia="游ゴシック" w:hAnsi="游ゴシック" w:hint="eastAsia"/>
          <w:b/>
          <w:bCs/>
          <w:color w:val="538135" w:themeColor="accent6" w:themeShade="BF"/>
          <w:szCs w:val="18"/>
        </w:rPr>
        <w:t>の活用例</w:t>
      </w:r>
    </w:p>
    <w:p w14:paraId="5235BA73" w14:textId="2C52858E" w:rsidR="008E3C2B" w:rsidRPr="009D4A19" w:rsidRDefault="008E3C2B" w:rsidP="008E3C2B">
      <w:pPr>
        <w:topLinePunct/>
        <w:autoSpaceDE w:val="0"/>
        <w:autoSpaceDN w:val="0"/>
        <w:snapToGrid w:val="0"/>
        <w:rPr>
          <w:rFonts w:ascii="游ゴシック" w:eastAsia="游ゴシック" w:hAnsi="游ゴシック"/>
          <w:b/>
          <w:bCs/>
          <w:szCs w:val="18"/>
        </w:rPr>
      </w:pPr>
      <w:r>
        <w:rPr>
          <w:rFonts w:ascii="游明朝" w:hAnsi="游明朝" w:hint="eastAsia"/>
          <w:szCs w:val="18"/>
        </w:rPr>
        <w:t xml:space="preserve">　</w:t>
      </w:r>
      <w:r w:rsidR="004D3B13" w:rsidRPr="004D3B13">
        <w:rPr>
          <w:rFonts w:ascii="游ゴシック" w:eastAsia="游ゴシック" w:hAnsi="游ゴシック" w:hint="eastAsia"/>
          <w:b/>
          <w:bCs/>
          <w:szCs w:val="18"/>
        </w:rPr>
        <w:t>キャッシュレス社会のメリットとデメリットを考えてみよう。</w:t>
      </w:r>
    </w:p>
    <w:p w14:paraId="0C4536E3" w14:textId="535145FD" w:rsidR="004D3B13" w:rsidRPr="004D3B13" w:rsidRDefault="004D3B13" w:rsidP="00B91BB5">
      <w:pPr>
        <w:topLinePunct/>
        <w:autoSpaceDE w:val="0"/>
        <w:autoSpaceDN w:val="0"/>
        <w:snapToGrid w:val="0"/>
        <w:ind w:firstLineChars="200" w:firstLine="360"/>
        <w:rPr>
          <w:rFonts w:ascii="游明朝" w:hAnsi="游明朝"/>
          <w:szCs w:val="18"/>
        </w:rPr>
      </w:pPr>
      <w:r w:rsidRPr="004D3B13">
        <w:rPr>
          <w:rFonts w:ascii="游明朝" w:hAnsi="游明朝" w:hint="eastAsia"/>
          <w:szCs w:val="18"/>
        </w:rPr>
        <w:t>・スマホ一つで支払いや決済ができるように，手間がかからず利便性が高い。</w:t>
      </w:r>
    </w:p>
    <w:p w14:paraId="56574E99" w14:textId="77777777" w:rsidR="004D3B13" w:rsidRPr="004D3B13" w:rsidRDefault="004D3B13" w:rsidP="00B91BB5">
      <w:pPr>
        <w:topLinePunct/>
        <w:autoSpaceDE w:val="0"/>
        <w:autoSpaceDN w:val="0"/>
        <w:snapToGrid w:val="0"/>
        <w:ind w:firstLineChars="200" w:firstLine="360"/>
        <w:rPr>
          <w:rFonts w:ascii="游明朝" w:hAnsi="游明朝"/>
          <w:szCs w:val="18"/>
        </w:rPr>
      </w:pPr>
      <w:r w:rsidRPr="004D3B13">
        <w:rPr>
          <w:rFonts w:ascii="游明朝" w:hAnsi="游明朝" w:hint="eastAsia"/>
          <w:szCs w:val="18"/>
        </w:rPr>
        <w:t>・非接触型の決済ができるので，感染症対策としても有効である。</w:t>
      </w:r>
    </w:p>
    <w:p w14:paraId="6E6F1CE5" w14:textId="77777777" w:rsidR="004D3B13" w:rsidRPr="004D3B13" w:rsidRDefault="004D3B13" w:rsidP="00B91BB5">
      <w:pPr>
        <w:topLinePunct/>
        <w:autoSpaceDE w:val="0"/>
        <w:autoSpaceDN w:val="0"/>
        <w:snapToGrid w:val="0"/>
        <w:ind w:firstLineChars="200" w:firstLine="360"/>
        <w:rPr>
          <w:rFonts w:ascii="游明朝" w:hAnsi="游明朝"/>
          <w:szCs w:val="18"/>
        </w:rPr>
      </w:pPr>
      <w:r w:rsidRPr="004D3B13">
        <w:rPr>
          <w:rFonts w:ascii="游明朝" w:hAnsi="游明朝" w:hint="eastAsia"/>
          <w:szCs w:val="18"/>
        </w:rPr>
        <w:t>・金銭を支払った感覚が薄く，お金を使い過ぎてしまう恐れがある。</w:t>
      </w:r>
    </w:p>
    <w:p w14:paraId="37B46AD0" w14:textId="77777777" w:rsidR="004D3B13" w:rsidRPr="004D3B13" w:rsidRDefault="004D3B13" w:rsidP="00B91BB5">
      <w:pPr>
        <w:topLinePunct/>
        <w:autoSpaceDE w:val="0"/>
        <w:autoSpaceDN w:val="0"/>
        <w:snapToGrid w:val="0"/>
        <w:ind w:firstLineChars="200" w:firstLine="360"/>
        <w:rPr>
          <w:rFonts w:ascii="游明朝" w:hAnsi="游明朝"/>
          <w:szCs w:val="18"/>
        </w:rPr>
      </w:pPr>
      <w:r w:rsidRPr="004D3B13">
        <w:rPr>
          <w:rFonts w:ascii="游明朝" w:hAnsi="游明朝" w:hint="eastAsia"/>
          <w:szCs w:val="18"/>
        </w:rPr>
        <w:t>・パスワードの流出やその管理など，個人情報管理上の問題が多い。</w:t>
      </w:r>
    </w:p>
    <w:p w14:paraId="31747DC2" w14:textId="27196AF2" w:rsidR="00BF5D20" w:rsidRDefault="004D3B13" w:rsidP="00B91BB5">
      <w:pPr>
        <w:topLinePunct/>
        <w:autoSpaceDE w:val="0"/>
        <w:autoSpaceDN w:val="0"/>
        <w:snapToGrid w:val="0"/>
        <w:ind w:firstLineChars="200" w:firstLine="360"/>
        <w:rPr>
          <w:rFonts w:ascii="游明朝" w:hAnsi="游明朝"/>
          <w:szCs w:val="18"/>
        </w:rPr>
      </w:pPr>
      <w:r w:rsidRPr="004D3B13">
        <w:rPr>
          <w:rFonts w:ascii="游明朝" w:hAnsi="游明朝" w:hint="eastAsia"/>
          <w:szCs w:val="18"/>
        </w:rPr>
        <w:t>・個人の消費活動の情報が他者に把握されるため，プライバシー消失の問題がある。</w:t>
      </w:r>
    </w:p>
    <w:p w14:paraId="152897D0" w14:textId="5154CE7E" w:rsidR="00724DEA" w:rsidRDefault="00724DEA" w:rsidP="00B91BB5">
      <w:pPr>
        <w:topLinePunct/>
        <w:autoSpaceDE w:val="0"/>
        <w:autoSpaceDN w:val="0"/>
        <w:snapToGrid w:val="0"/>
        <w:rPr>
          <w:rFonts w:ascii="游明朝" w:hAnsi="游明朝"/>
          <w:szCs w:val="18"/>
        </w:rPr>
      </w:pPr>
    </w:p>
    <w:sectPr w:rsidR="00724DEA" w:rsidSect="00616E56">
      <w:pgSz w:w="10318" w:h="14570" w:code="13"/>
      <w:pgMar w:top="794"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33287" w14:textId="77777777" w:rsidR="00616E56" w:rsidRDefault="00616E56" w:rsidP="009C51DE">
      <w:r>
        <w:separator/>
      </w:r>
    </w:p>
  </w:endnote>
  <w:endnote w:type="continuationSeparator" w:id="0">
    <w:p w14:paraId="5C6B7A3A" w14:textId="77777777" w:rsidR="00616E56" w:rsidRDefault="00616E56" w:rsidP="009C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722CF" w14:textId="77777777" w:rsidR="00616E56" w:rsidRDefault="00616E56" w:rsidP="009C51DE">
      <w:r>
        <w:separator/>
      </w:r>
    </w:p>
  </w:footnote>
  <w:footnote w:type="continuationSeparator" w:id="0">
    <w:p w14:paraId="7419A8F6" w14:textId="77777777" w:rsidR="00616E56" w:rsidRDefault="00616E56" w:rsidP="009C5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AA"/>
    <w:rsid w:val="00002117"/>
    <w:rsid w:val="00006DD4"/>
    <w:rsid w:val="00016CC3"/>
    <w:rsid w:val="00025628"/>
    <w:rsid w:val="00031BE8"/>
    <w:rsid w:val="00046D74"/>
    <w:rsid w:val="00053651"/>
    <w:rsid w:val="000A7870"/>
    <w:rsid w:val="000A7FDC"/>
    <w:rsid w:val="000F4897"/>
    <w:rsid w:val="001100E1"/>
    <w:rsid w:val="0012647E"/>
    <w:rsid w:val="00132A6D"/>
    <w:rsid w:val="001340D7"/>
    <w:rsid w:val="00166F2C"/>
    <w:rsid w:val="001941D5"/>
    <w:rsid w:val="001D25B3"/>
    <w:rsid w:val="001D60C6"/>
    <w:rsid w:val="001D68EB"/>
    <w:rsid w:val="001E49C1"/>
    <w:rsid w:val="001F6C2E"/>
    <w:rsid w:val="00222759"/>
    <w:rsid w:val="00253367"/>
    <w:rsid w:val="00254BE3"/>
    <w:rsid w:val="002578FB"/>
    <w:rsid w:val="00287401"/>
    <w:rsid w:val="002F6E31"/>
    <w:rsid w:val="003070A5"/>
    <w:rsid w:val="00313CB3"/>
    <w:rsid w:val="003275D4"/>
    <w:rsid w:val="003373E8"/>
    <w:rsid w:val="003543BE"/>
    <w:rsid w:val="00361B74"/>
    <w:rsid w:val="00383F0A"/>
    <w:rsid w:val="003A4132"/>
    <w:rsid w:val="003A700A"/>
    <w:rsid w:val="003D422F"/>
    <w:rsid w:val="003E04DF"/>
    <w:rsid w:val="003F7B3B"/>
    <w:rsid w:val="0040001F"/>
    <w:rsid w:val="0042080C"/>
    <w:rsid w:val="004254DB"/>
    <w:rsid w:val="0043121A"/>
    <w:rsid w:val="0043346B"/>
    <w:rsid w:val="00466605"/>
    <w:rsid w:val="00466977"/>
    <w:rsid w:val="00470987"/>
    <w:rsid w:val="004931B1"/>
    <w:rsid w:val="004C524D"/>
    <w:rsid w:val="004C60B2"/>
    <w:rsid w:val="004D3B13"/>
    <w:rsid w:val="004D5AA4"/>
    <w:rsid w:val="00506400"/>
    <w:rsid w:val="00515460"/>
    <w:rsid w:val="00522AFB"/>
    <w:rsid w:val="005301CE"/>
    <w:rsid w:val="00541E9A"/>
    <w:rsid w:val="00575166"/>
    <w:rsid w:val="005A1A00"/>
    <w:rsid w:val="005A57A7"/>
    <w:rsid w:val="005C00E2"/>
    <w:rsid w:val="005C1E7C"/>
    <w:rsid w:val="005D3782"/>
    <w:rsid w:val="005D3BDD"/>
    <w:rsid w:val="005F5B6A"/>
    <w:rsid w:val="00616E56"/>
    <w:rsid w:val="006402A1"/>
    <w:rsid w:val="006578C2"/>
    <w:rsid w:val="00661DB0"/>
    <w:rsid w:val="00696FEC"/>
    <w:rsid w:val="006B27CB"/>
    <w:rsid w:val="006C2D4C"/>
    <w:rsid w:val="006C34E1"/>
    <w:rsid w:val="006C74DB"/>
    <w:rsid w:val="006D0B26"/>
    <w:rsid w:val="006E33C7"/>
    <w:rsid w:val="006F5307"/>
    <w:rsid w:val="007159F5"/>
    <w:rsid w:val="00716BE3"/>
    <w:rsid w:val="00724DEA"/>
    <w:rsid w:val="0076490D"/>
    <w:rsid w:val="00780CCD"/>
    <w:rsid w:val="007C4563"/>
    <w:rsid w:val="007C4DDF"/>
    <w:rsid w:val="007D45CF"/>
    <w:rsid w:val="007D57D5"/>
    <w:rsid w:val="00801F1D"/>
    <w:rsid w:val="00807BAA"/>
    <w:rsid w:val="0081575E"/>
    <w:rsid w:val="00822371"/>
    <w:rsid w:val="008456B1"/>
    <w:rsid w:val="008664FD"/>
    <w:rsid w:val="0087276A"/>
    <w:rsid w:val="008A0435"/>
    <w:rsid w:val="008A6FB5"/>
    <w:rsid w:val="008B2489"/>
    <w:rsid w:val="008E3C2B"/>
    <w:rsid w:val="008E5409"/>
    <w:rsid w:val="0092509E"/>
    <w:rsid w:val="00970599"/>
    <w:rsid w:val="00992D07"/>
    <w:rsid w:val="00995DAC"/>
    <w:rsid w:val="009C51DE"/>
    <w:rsid w:val="009D4A19"/>
    <w:rsid w:val="009E0F85"/>
    <w:rsid w:val="009F3536"/>
    <w:rsid w:val="00A011C0"/>
    <w:rsid w:val="00A41EE6"/>
    <w:rsid w:val="00A434C7"/>
    <w:rsid w:val="00AA3A79"/>
    <w:rsid w:val="00AE1A30"/>
    <w:rsid w:val="00AE6109"/>
    <w:rsid w:val="00AF62B1"/>
    <w:rsid w:val="00AF7734"/>
    <w:rsid w:val="00B37E24"/>
    <w:rsid w:val="00B772B1"/>
    <w:rsid w:val="00B91BB5"/>
    <w:rsid w:val="00BA0CE6"/>
    <w:rsid w:val="00BC6C12"/>
    <w:rsid w:val="00BD1610"/>
    <w:rsid w:val="00BE468E"/>
    <w:rsid w:val="00BF1442"/>
    <w:rsid w:val="00BF5D20"/>
    <w:rsid w:val="00C12297"/>
    <w:rsid w:val="00C22626"/>
    <w:rsid w:val="00C33747"/>
    <w:rsid w:val="00C341C1"/>
    <w:rsid w:val="00C4672B"/>
    <w:rsid w:val="00C477A8"/>
    <w:rsid w:val="00C5557B"/>
    <w:rsid w:val="00C67DBD"/>
    <w:rsid w:val="00C829BE"/>
    <w:rsid w:val="00C95D27"/>
    <w:rsid w:val="00CA7249"/>
    <w:rsid w:val="00CD7546"/>
    <w:rsid w:val="00CE4546"/>
    <w:rsid w:val="00D05079"/>
    <w:rsid w:val="00D120A2"/>
    <w:rsid w:val="00D205A8"/>
    <w:rsid w:val="00D224F9"/>
    <w:rsid w:val="00D27BE9"/>
    <w:rsid w:val="00D3291F"/>
    <w:rsid w:val="00D52636"/>
    <w:rsid w:val="00D53EC9"/>
    <w:rsid w:val="00D807B7"/>
    <w:rsid w:val="00D84054"/>
    <w:rsid w:val="00D92C4E"/>
    <w:rsid w:val="00D977B9"/>
    <w:rsid w:val="00DC2859"/>
    <w:rsid w:val="00DE65DB"/>
    <w:rsid w:val="00E14E87"/>
    <w:rsid w:val="00E25F6D"/>
    <w:rsid w:val="00E34D4C"/>
    <w:rsid w:val="00E40B4A"/>
    <w:rsid w:val="00E43896"/>
    <w:rsid w:val="00E741FC"/>
    <w:rsid w:val="00E8392C"/>
    <w:rsid w:val="00E934C3"/>
    <w:rsid w:val="00EB3FE6"/>
    <w:rsid w:val="00EC06DA"/>
    <w:rsid w:val="00EC5492"/>
    <w:rsid w:val="00ED0E88"/>
    <w:rsid w:val="00ED5175"/>
    <w:rsid w:val="00F05218"/>
    <w:rsid w:val="00F37936"/>
    <w:rsid w:val="00F41475"/>
    <w:rsid w:val="00F50405"/>
    <w:rsid w:val="00F51DAF"/>
    <w:rsid w:val="00F7514B"/>
    <w:rsid w:val="00F81C3F"/>
    <w:rsid w:val="00FA00E6"/>
    <w:rsid w:val="00FA69AB"/>
    <w:rsid w:val="00FC4A86"/>
    <w:rsid w:val="00FD0441"/>
    <w:rsid w:val="00FD08E7"/>
    <w:rsid w:val="00FD5777"/>
    <w:rsid w:val="00FE0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F4959C"/>
  <w15:chartTrackingRefBased/>
  <w15:docId w15:val="{17712B50-2284-4231-8DDB-9C9355C5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EE6"/>
    <w:pPr>
      <w:widowControl w:val="0"/>
      <w:jc w:val="both"/>
    </w:pPr>
    <w:rPr>
      <w:rFonts w:eastAsia="游明朝"/>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1DE"/>
    <w:pPr>
      <w:tabs>
        <w:tab w:val="center" w:pos="4252"/>
        <w:tab w:val="right" w:pos="8504"/>
      </w:tabs>
      <w:snapToGrid w:val="0"/>
    </w:pPr>
  </w:style>
  <w:style w:type="character" w:customStyle="1" w:styleId="a4">
    <w:name w:val="ヘッダー (文字)"/>
    <w:basedOn w:val="a0"/>
    <w:link w:val="a3"/>
    <w:uiPriority w:val="99"/>
    <w:rsid w:val="009C51DE"/>
  </w:style>
  <w:style w:type="paragraph" w:styleId="a5">
    <w:name w:val="footer"/>
    <w:basedOn w:val="a"/>
    <w:link w:val="a6"/>
    <w:uiPriority w:val="99"/>
    <w:unhideWhenUsed/>
    <w:rsid w:val="009C51DE"/>
    <w:pPr>
      <w:tabs>
        <w:tab w:val="center" w:pos="4252"/>
        <w:tab w:val="right" w:pos="8504"/>
      </w:tabs>
      <w:snapToGrid w:val="0"/>
    </w:pPr>
  </w:style>
  <w:style w:type="character" w:customStyle="1" w:styleId="a6">
    <w:name w:val="フッター (文字)"/>
    <w:basedOn w:val="a0"/>
    <w:link w:val="a5"/>
    <w:uiPriority w:val="99"/>
    <w:rsid w:val="009C51DE"/>
  </w:style>
  <w:style w:type="table" w:styleId="a7">
    <w:name w:val="Table Grid"/>
    <w:basedOn w:val="a1"/>
    <w:uiPriority w:val="39"/>
    <w:rsid w:val="00C95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6">
    <w:name w:val="Grid Table 5 Dark Accent 6"/>
    <w:basedOn w:val="a1"/>
    <w:uiPriority w:val="50"/>
    <w:rsid w:val="005F5B6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11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544</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2021-01-10T06:11:00Z</cp:lastPrinted>
  <dcterms:created xsi:type="dcterms:W3CDTF">2022-02-08T00:28:00Z</dcterms:created>
  <dcterms:modified xsi:type="dcterms:W3CDTF">2024-02-29T00:26:00Z</dcterms:modified>
</cp:coreProperties>
</file>